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470" w:rsidRDefault="004E728D" w:rsidP="004E728D">
      <w:pPr>
        <w:jc w:val="center"/>
        <w:rPr>
          <w:rFonts w:ascii="SassoonPrimaryInfant" w:hAnsi="SassoonPrimaryInfant"/>
          <w:sz w:val="48"/>
          <w:szCs w:val="48"/>
        </w:rPr>
      </w:pPr>
      <w:r w:rsidRPr="004E728D">
        <w:rPr>
          <w:rFonts w:ascii="SassoonPrimaryInfant" w:hAnsi="SassoonPrimaryInfant"/>
          <w:sz w:val="48"/>
          <w:szCs w:val="48"/>
        </w:rPr>
        <w:t>Maths Long term plan EYFS 202</w:t>
      </w:r>
      <w:r w:rsidR="008C49D9">
        <w:rPr>
          <w:rFonts w:ascii="SassoonPrimaryInfant" w:hAnsi="SassoonPrimaryInfant"/>
          <w:sz w:val="48"/>
          <w:szCs w:val="48"/>
        </w:rPr>
        <w:t>4-25</w:t>
      </w:r>
      <w:bookmarkStart w:id="0" w:name="_GoBack"/>
      <w:bookmarkEnd w:id="0"/>
    </w:p>
    <w:p w:rsidR="00EE2FD6" w:rsidRDefault="00EE2FD6" w:rsidP="004E728D">
      <w:pPr>
        <w:jc w:val="center"/>
        <w:rPr>
          <w:rFonts w:ascii="SassoonPrimaryInfant" w:hAnsi="SassoonPrimaryInfant"/>
          <w:sz w:val="48"/>
          <w:szCs w:val="48"/>
        </w:rPr>
      </w:pPr>
      <w:r>
        <w:rPr>
          <w:rFonts w:ascii="SassoonPrimaryInfant" w:hAnsi="SassoonPrimaryInfant"/>
          <w:sz w:val="48"/>
          <w:szCs w:val="48"/>
        </w:rPr>
        <w:t xml:space="preserve">Mathematics Educational Programme </w:t>
      </w:r>
    </w:p>
    <w:p w:rsidR="00EE2FD6" w:rsidRDefault="00EE2FD6" w:rsidP="00EE2FD6">
      <w:pPr>
        <w:spacing w:after="0" w:line="240" w:lineRule="auto"/>
        <w:rPr>
          <w:rFonts w:ascii="SassoonPrimaryInfant" w:eastAsia="Times New Roman" w:hAnsi="SassoonPrimaryInfant" w:cs="Arial"/>
          <w:sz w:val="24"/>
          <w:szCs w:val="24"/>
          <w:lang w:val="en-US" w:eastAsia="en-GB"/>
        </w:rPr>
      </w:pPr>
      <w:r w:rsidRPr="00D739FA">
        <w:rPr>
          <w:rFonts w:ascii="SassoonPrimaryInfant" w:eastAsia="Times New Roman" w:hAnsi="SassoonPrimaryInfant" w:cs="Arial"/>
          <w:sz w:val="24"/>
          <w:szCs w:val="24"/>
          <w:lang w:val="en-US" w:eastAsia="en-GB"/>
        </w:rPr>
        <w:t xml:space="preserve">Developing a </w:t>
      </w:r>
      <w:r w:rsidRPr="00D739FA">
        <w:rPr>
          <w:rFonts w:ascii="SassoonPrimaryInfant" w:eastAsia="Times New Roman" w:hAnsi="SassoonPrimaryInfant" w:cs="Arial"/>
          <w:b/>
          <w:bCs/>
          <w:sz w:val="24"/>
          <w:szCs w:val="24"/>
          <w:lang w:val="en-US" w:eastAsia="en-GB"/>
        </w:rPr>
        <w:t xml:space="preserve">strong grounding in number </w:t>
      </w:r>
      <w:r w:rsidRPr="00D739FA">
        <w:rPr>
          <w:rFonts w:ascii="SassoonPrimaryInfant" w:eastAsia="Times New Roman" w:hAnsi="SassoonPrimaryInfant" w:cs="Arial"/>
          <w:sz w:val="24"/>
          <w:szCs w:val="24"/>
          <w:lang w:val="en-US" w:eastAsia="en-GB"/>
        </w:rPr>
        <w:t xml:space="preserve">is essential so that all children develop the necessary </w:t>
      </w:r>
      <w:r w:rsidRPr="00D739FA">
        <w:rPr>
          <w:rFonts w:ascii="SassoonPrimaryInfant" w:eastAsia="Times New Roman" w:hAnsi="SassoonPrimaryInfant" w:cs="Arial"/>
          <w:b/>
          <w:bCs/>
          <w:sz w:val="24"/>
          <w:szCs w:val="24"/>
          <w:lang w:val="en-US" w:eastAsia="en-GB"/>
        </w:rPr>
        <w:t xml:space="preserve">building blocks </w:t>
      </w:r>
      <w:r w:rsidRPr="00D739FA">
        <w:rPr>
          <w:rFonts w:ascii="SassoonPrimaryInfant" w:eastAsia="Times New Roman" w:hAnsi="SassoonPrimaryInfant" w:cs="Arial"/>
          <w:sz w:val="24"/>
          <w:szCs w:val="24"/>
          <w:lang w:val="en-US" w:eastAsia="en-GB"/>
        </w:rPr>
        <w:t xml:space="preserve">to excel mathematically. Children should be able to </w:t>
      </w:r>
      <w:r w:rsidRPr="00D739FA">
        <w:rPr>
          <w:rFonts w:ascii="SassoonPrimaryInfant" w:eastAsia="Times New Roman" w:hAnsi="SassoonPrimaryInfant" w:cs="Arial"/>
          <w:b/>
          <w:bCs/>
          <w:sz w:val="24"/>
          <w:szCs w:val="24"/>
          <w:lang w:val="en-US" w:eastAsia="en-GB"/>
        </w:rPr>
        <w:t>count confidently</w:t>
      </w:r>
      <w:r w:rsidRPr="00D739FA">
        <w:rPr>
          <w:rFonts w:ascii="SassoonPrimaryInfant" w:eastAsia="Times New Roman" w:hAnsi="SassoonPrimaryInfant" w:cs="Arial"/>
          <w:sz w:val="24"/>
          <w:szCs w:val="24"/>
          <w:lang w:val="en-US" w:eastAsia="en-GB"/>
        </w:rPr>
        <w:t xml:space="preserve">, develop a deep understanding of the </w:t>
      </w:r>
      <w:r w:rsidRPr="00D739FA">
        <w:rPr>
          <w:rFonts w:ascii="SassoonPrimaryInfant" w:eastAsia="Times New Roman" w:hAnsi="SassoonPrimaryInfant" w:cs="Arial"/>
          <w:b/>
          <w:bCs/>
          <w:sz w:val="24"/>
          <w:szCs w:val="24"/>
          <w:lang w:val="en-US" w:eastAsia="en-GB"/>
        </w:rPr>
        <w:t>numbers to 10</w:t>
      </w:r>
      <w:r w:rsidRPr="00D739FA">
        <w:rPr>
          <w:rFonts w:ascii="SassoonPrimaryInfant" w:eastAsia="Times New Roman" w:hAnsi="SassoonPrimaryInfant" w:cs="Arial"/>
          <w:sz w:val="24"/>
          <w:szCs w:val="24"/>
          <w:lang w:val="en-US" w:eastAsia="en-GB"/>
        </w:rPr>
        <w:t xml:space="preserve">, the </w:t>
      </w:r>
      <w:r w:rsidRPr="00D739FA">
        <w:rPr>
          <w:rFonts w:ascii="SassoonPrimaryInfant" w:eastAsia="Times New Roman" w:hAnsi="SassoonPrimaryInfant" w:cs="Arial"/>
          <w:b/>
          <w:bCs/>
          <w:sz w:val="24"/>
          <w:szCs w:val="24"/>
          <w:lang w:val="en-US" w:eastAsia="en-GB"/>
        </w:rPr>
        <w:t xml:space="preserve">relationships between </w:t>
      </w:r>
      <w:r w:rsidRPr="00D739FA">
        <w:rPr>
          <w:rFonts w:ascii="SassoonPrimaryInfant" w:eastAsia="Times New Roman" w:hAnsi="SassoonPrimaryInfant" w:cs="Arial"/>
          <w:sz w:val="24"/>
          <w:szCs w:val="24"/>
          <w:lang w:val="en-US" w:eastAsia="en-GB"/>
        </w:rPr>
        <w:t xml:space="preserve">them and the patterns within those numbers. By providing frequent and varied opportunities to build and apply this understanding - such as using </w:t>
      </w:r>
      <w:r w:rsidRPr="00D739FA">
        <w:rPr>
          <w:rFonts w:ascii="SassoonPrimaryInfant" w:eastAsia="Times New Roman" w:hAnsi="SassoonPrimaryInfant" w:cs="Arial"/>
          <w:b/>
          <w:bCs/>
          <w:sz w:val="24"/>
          <w:szCs w:val="24"/>
          <w:lang w:val="en-US" w:eastAsia="en-GB"/>
        </w:rPr>
        <w:t>manipulatives,</w:t>
      </w:r>
      <w:r w:rsidRPr="00D739FA">
        <w:rPr>
          <w:rFonts w:ascii="SassoonPrimaryInfant" w:eastAsia="Times New Roman" w:hAnsi="SassoonPrimaryInfant" w:cs="Arial"/>
          <w:sz w:val="24"/>
          <w:szCs w:val="24"/>
          <w:lang w:val="en-US" w:eastAsia="en-GB"/>
        </w:rPr>
        <w:t xml:space="preserve"> including small pebbles and tens frames for </w:t>
      </w:r>
      <w:proofErr w:type="spellStart"/>
      <w:r w:rsidRPr="00D739FA">
        <w:rPr>
          <w:rFonts w:ascii="SassoonPrimaryInfant" w:eastAsia="Times New Roman" w:hAnsi="SassoonPrimaryInfant" w:cs="Arial"/>
          <w:sz w:val="24"/>
          <w:szCs w:val="24"/>
          <w:lang w:val="en-US" w:eastAsia="en-GB"/>
        </w:rPr>
        <w:t>organising</w:t>
      </w:r>
      <w:proofErr w:type="spellEnd"/>
      <w:r w:rsidRPr="00D739FA">
        <w:rPr>
          <w:rFonts w:ascii="SassoonPrimaryInfant" w:eastAsia="Times New Roman" w:hAnsi="SassoonPrimaryInfant" w:cs="Arial"/>
          <w:sz w:val="24"/>
          <w:szCs w:val="24"/>
          <w:lang w:val="en-US" w:eastAsia="en-GB"/>
        </w:rPr>
        <w:t xml:space="preserve"> counting - children will develop a secure base of knowledge and vocabulary from which </w:t>
      </w:r>
      <w:r w:rsidRPr="00D739FA">
        <w:rPr>
          <w:rFonts w:ascii="SassoonPrimaryInfant" w:eastAsia="Times New Roman" w:hAnsi="SassoonPrimaryInfant" w:cs="Arial"/>
          <w:b/>
          <w:bCs/>
          <w:sz w:val="24"/>
          <w:szCs w:val="24"/>
          <w:lang w:val="en-US" w:eastAsia="en-GB"/>
        </w:rPr>
        <w:t xml:space="preserve">mastery of mathematics </w:t>
      </w:r>
      <w:r w:rsidRPr="00D739FA">
        <w:rPr>
          <w:rFonts w:ascii="SassoonPrimaryInfant" w:eastAsia="Times New Roman" w:hAnsi="SassoonPrimaryInfant" w:cs="Arial"/>
          <w:sz w:val="24"/>
          <w:szCs w:val="24"/>
          <w:lang w:val="en-US" w:eastAsia="en-GB"/>
        </w:rPr>
        <w:t xml:space="preserve">is built. In addition, it is important that the curriculum includes </w:t>
      </w:r>
      <w:r w:rsidRPr="00D739FA">
        <w:rPr>
          <w:rFonts w:ascii="SassoonPrimaryInfant" w:eastAsia="Times New Roman" w:hAnsi="SassoonPrimaryInfant" w:cs="Arial"/>
          <w:b/>
          <w:bCs/>
          <w:sz w:val="24"/>
          <w:szCs w:val="24"/>
          <w:lang w:val="en-US" w:eastAsia="en-GB"/>
        </w:rPr>
        <w:t xml:space="preserve">rich opportunities for children to develop their spatial reasoning </w:t>
      </w:r>
      <w:r w:rsidRPr="00D739FA">
        <w:rPr>
          <w:rFonts w:ascii="SassoonPrimaryInfant" w:eastAsia="Times New Roman" w:hAnsi="SassoonPrimaryInfant" w:cs="Arial"/>
          <w:sz w:val="24"/>
          <w:szCs w:val="24"/>
          <w:lang w:val="en-US" w:eastAsia="en-GB"/>
        </w:rPr>
        <w:t xml:space="preserve">skills across all areas of mathematics including shape, space and measures. It is important that children </w:t>
      </w:r>
      <w:r w:rsidRPr="00D739FA">
        <w:rPr>
          <w:rFonts w:ascii="SassoonPrimaryInfant" w:eastAsia="Times New Roman" w:hAnsi="SassoonPrimaryInfant" w:cs="Arial"/>
          <w:b/>
          <w:bCs/>
          <w:sz w:val="24"/>
          <w:szCs w:val="24"/>
          <w:lang w:val="en-US" w:eastAsia="en-GB"/>
        </w:rPr>
        <w:t>develop positive attitudes and interests in mathematics</w:t>
      </w:r>
      <w:r w:rsidRPr="00D739FA">
        <w:rPr>
          <w:rFonts w:ascii="SassoonPrimaryInfant" w:eastAsia="Times New Roman" w:hAnsi="SassoonPrimaryInfant" w:cs="Arial"/>
          <w:sz w:val="24"/>
          <w:szCs w:val="24"/>
          <w:lang w:val="en-US" w:eastAsia="en-GB"/>
        </w:rPr>
        <w:t xml:space="preserve">, look for </w:t>
      </w:r>
      <w:r w:rsidRPr="00D739FA">
        <w:rPr>
          <w:rFonts w:ascii="SassoonPrimaryInfant" w:eastAsia="Times New Roman" w:hAnsi="SassoonPrimaryInfant" w:cs="Arial"/>
          <w:b/>
          <w:bCs/>
          <w:sz w:val="24"/>
          <w:szCs w:val="24"/>
          <w:lang w:val="en-US" w:eastAsia="en-GB"/>
        </w:rPr>
        <w:t>patterns and relationships</w:t>
      </w:r>
      <w:r w:rsidRPr="00D739FA">
        <w:rPr>
          <w:rFonts w:ascii="SassoonPrimaryInfant" w:eastAsia="Times New Roman" w:hAnsi="SassoonPrimaryInfant" w:cs="Arial"/>
          <w:sz w:val="24"/>
          <w:szCs w:val="24"/>
          <w:lang w:val="en-US" w:eastAsia="en-GB"/>
        </w:rPr>
        <w:t xml:space="preserve">, spot </w:t>
      </w:r>
      <w:r w:rsidRPr="00D739FA">
        <w:rPr>
          <w:rFonts w:ascii="SassoonPrimaryInfant" w:eastAsia="Times New Roman" w:hAnsi="SassoonPrimaryInfant" w:cs="Arial"/>
          <w:b/>
          <w:bCs/>
          <w:sz w:val="24"/>
          <w:szCs w:val="24"/>
          <w:lang w:val="en-US" w:eastAsia="en-GB"/>
        </w:rPr>
        <w:t>connections, ‘have a go’</w:t>
      </w:r>
      <w:r w:rsidRPr="00D739FA">
        <w:rPr>
          <w:rFonts w:ascii="SassoonPrimaryInfant" w:eastAsia="Times New Roman" w:hAnsi="SassoonPrimaryInfant" w:cs="Arial"/>
          <w:sz w:val="24"/>
          <w:szCs w:val="24"/>
          <w:lang w:val="en-US" w:eastAsia="en-GB"/>
        </w:rPr>
        <w:t xml:space="preserve">, </w:t>
      </w:r>
      <w:r w:rsidRPr="00D739FA">
        <w:rPr>
          <w:rFonts w:ascii="SassoonPrimaryInfant" w:eastAsia="Times New Roman" w:hAnsi="SassoonPrimaryInfant" w:cs="Arial"/>
          <w:b/>
          <w:bCs/>
          <w:sz w:val="24"/>
          <w:szCs w:val="24"/>
          <w:lang w:val="en-US" w:eastAsia="en-GB"/>
        </w:rPr>
        <w:t xml:space="preserve">talk to adults </w:t>
      </w:r>
      <w:r w:rsidRPr="00D739FA">
        <w:rPr>
          <w:rFonts w:ascii="SassoonPrimaryInfant" w:eastAsia="Times New Roman" w:hAnsi="SassoonPrimaryInfant" w:cs="Arial"/>
          <w:sz w:val="24"/>
          <w:szCs w:val="24"/>
          <w:lang w:val="en-US" w:eastAsia="en-GB"/>
        </w:rPr>
        <w:t>and peers about what they notice and not be afraid to make mistakes.</w:t>
      </w:r>
    </w:p>
    <w:p w:rsidR="00EE2FD6" w:rsidRDefault="00EE2FD6" w:rsidP="00EE2FD6">
      <w:pPr>
        <w:spacing w:after="0" w:line="240" w:lineRule="auto"/>
        <w:rPr>
          <w:noProof/>
        </w:rPr>
      </w:pPr>
    </w:p>
    <w:p w:rsidR="00EE2FD6" w:rsidRDefault="00EE2FD6" w:rsidP="00EE2FD6">
      <w:pPr>
        <w:spacing w:after="0" w:line="240" w:lineRule="auto"/>
        <w:rPr>
          <w:rFonts w:ascii="SassoonPrimaryInfant" w:eastAsia="Times New Roman" w:hAnsi="SassoonPrimaryInfant" w:cs="Arial"/>
          <w:sz w:val="36"/>
          <w:szCs w:val="36"/>
          <w:lang w:eastAsia="en-GB"/>
        </w:rPr>
      </w:pPr>
      <w:r w:rsidRPr="00EE2FD6">
        <w:rPr>
          <w:rFonts w:ascii="SassoonPrimaryInfant" w:eastAsia="Times New Roman" w:hAnsi="SassoonPrimaryInfant" w:cs="Arial"/>
          <w:sz w:val="36"/>
          <w:szCs w:val="36"/>
          <w:lang w:eastAsia="en-GB"/>
        </w:rPr>
        <w:t>Our weekly teaching is supported by the early years NCTEM framework using the six key areas of early mathematics learning:</w:t>
      </w:r>
    </w:p>
    <w:p w:rsidR="00EE2FD6" w:rsidRDefault="00EE2FD6" w:rsidP="00EE2FD6">
      <w:pPr>
        <w:spacing w:after="0" w:line="240" w:lineRule="auto"/>
        <w:rPr>
          <w:rFonts w:ascii="SassoonPrimaryInfant" w:eastAsia="Times New Roman" w:hAnsi="SassoonPrimaryInfant" w:cs="Arial"/>
          <w:sz w:val="36"/>
          <w:szCs w:val="36"/>
          <w:lang w:eastAsia="en-GB"/>
        </w:rPr>
      </w:pPr>
    </w:p>
    <w:p w:rsidR="00EE2FD6" w:rsidRPr="00B60D2C" w:rsidRDefault="00EE2FD6" w:rsidP="00EE2FD6">
      <w:pPr>
        <w:pStyle w:val="ListParagraph"/>
        <w:numPr>
          <w:ilvl w:val="0"/>
          <w:numId w:val="1"/>
        </w:numPr>
        <w:spacing w:after="0" w:line="240" w:lineRule="auto"/>
        <w:rPr>
          <w:rFonts w:ascii="SassoonPrimaryInfant" w:eastAsia="Times New Roman" w:hAnsi="SassoonPrimaryInfant" w:cs="Arial"/>
          <w:sz w:val="36"/>
          <w:szCs w:val="36"/>
          <w:lang w:eastAsia="en-GB"/>
        </w:rPr>
      </w:pPr>
      <w:r>
        <w:rPr>
          <w:rFonts w:ascii="SassoonPrimaryInfant" w:eastAsia="Times New Roman" w:hAnsi="SassoonPrimaryInfant" w:cs="Arial"/>
          <w:sz w:val="36"/>
          <w:szCs w:val="36"/>
          <w:lang w:eastAsia="en-GB"/>
        </w:rPr>
        <w:t xml:space="preserve">Cardinality and Counting: </w:t>
      </w:r>
      <w:r w:rsidRPr="00B60D2C">
        <w:rPr>
          <w:rFonts w:ascii="SassoonPrimaryInfant" w:hAnsi="SassoonPrimaryInfant" w:cs="Arial"/>
          <w:color w:val="585858"/>
          <w:sz w:val="32"/>
          <w:szCs w:val="32"/>
          <w:shd w:val="clear" w:color="auto" w:fill="FFFFFF"/>
        </w:rPr>
        <w:t>Understanding that the cardinal value of a number refers to the quantity, or ‘</w:t>
      </w:r>
      <w:proofErr w:type="spellStart"/>
      <w:r w:rsidRPr="00B60D2C">
        <w:rPr>
          <w:rFonts w:ascii="SassoonPrimaryInfant" w:hAnsi="SassoonPrimaryInfant" w:cs="Arial"/>
          <w:color w:val="585858"/>
          <w:sz w:val="32"/>
          <w:szCs w:val="32"/>
          <w:shd w:val="clear" w:color="auto" w:fill="FFFFFF"/>
        </w:rPr>
        <w:t>howmanyness</w:t>
      </w:r>
      <w:proofErr w:type="spellEnd"/>
      <w:r w:rsidRPr="00B60D2C">
        <w:rPr>
          <w:rFonts w:ascii="SassoonPrimaryInfant" w:hAnsi="SassoonPrimaryInfant" w:cs="Arial"/>
          <w:color w:val="585858"/>
          <w:sz w:val="32"/>
          <w:szCs w:val="32"/>
          <w:shd w:val="clear" w:color="auto" w:fill="FFFFFF"/>
        </w:rPr>
        <w:t>’ of things it represents</w:t>
      </w:r>
    </w:p>
    <w:p w:rsidR="00B60D2C" w:rsidRPr="00B60D2C" w:rsidRDefault="00B60D2C" w:rsidP="00EE2FD6">
      <w:pPr>
        <w:pStyle w:val="ListParagraph"/>
        <w:numPr>
          <w:ilvl w:val="0"/>
          <w:numId w:val="1"/>
        </w:numPr>
        <w:spacing w:after="0" w:line="240" w:lineRule="auto"/>
        <w:rPr>
          <w:rFonts w:ascii="SassoonPrimaryInfant" w:eastAsia="Times New Roman" w:hAnsi="SassoonPrimaryInfant" w:cs="Arial"/>
          <w:sz w:val="36"/>
          <w:szCs w:val="36"/>
          <w:lang w:eastAsia="en-GB"/>
        </w:rPr>
      </w:pPr>
      <w:r>
        <w:rPr>
          <w:rFonts w:ascii="SassoonPrimaryInfant" w:eastAsia="Times New Roman" w:hAnsi="SassoonPrimaryInfant" w:cs="Arial"/>
          <w:sz w:val="36"/>
          <w:szCs w:val="36"/>
          <w:lang w:eastAsia="en-GB"/>
        </w:rPr>
        <w:t>Comparison:</w:t>
      </w:r>
      <w:r w:rsidRPr="00B60D2C">
        <w:rPr>
          <w:rFonts w:ascii="Arial" w:hAnsi="Arial" w:cs="Arial"/>
          <w:color w:val="585858"/>
          <w:sz w:val="21"/>
          <w:szCs w:val="21"/>
          <w:shd w:val="clear" w:color="auto" w:fill="FFFFFF"/>
        </w:rPr>
        <w:t xml:space="preserve"> </w:t>
      </w:r>
      <w:r w:rsidRPr="00B60D2C">
        <w:rPr>
          <w:rFonts w:ascii="SassoonPrimaryInfant" w:hAnsi="SassoonPrimaryInfant" w:cs="Arial"/>
          <w:color w:val="585858"/>
          <w:sz w:val="32"/>
          <w:szCs w:val="32"/>
          <w:shd w:val="clear" w:color="auto" w:fill="FFFFFF"/>
        </w:rPr>
        <w:t>Understanding that comparing numbers involves knowing which numbers are worth more or less than each other</w:t>
      </w:r>
    </w:p>
    <w:p w:rsidR="00B60D2C" w:rsidRPr="00B60D2C" w:rsidRDefault="00B60D2C" w:rsidP="00EE2FD6">
      <w:pPr>
        <w:pStyle w:val="ListParagraph"/>
        <w:numPr>
          <w:ilvl w:val="0"/>
          <w:numId w:val="1"/>
        </w:numPr>
        <w:spacing w:after="0" w:line="240" w:lineRule="auto"/>
        <w:rPr>
          <w:rFonts w:ascii="SassoonPrimaryInfant" w:eastAsia="Times New Roman" w:hAnsi="SassoonPrimaryInfant" w:cs="Arial"/>
          <w:sz w:val="36"/>
          <w:szCs w:val="36"/>
          <w:lang w:eastAsia="en-GB"/>
        </w:rPr>
      </w:pPr>
      <w:r>
        <w:rPr>
          <w:rFonts w:ascii="SassoonPrimaryInfant" w:eastAsia="Times New Roman" w:hAnsi="SassoonPrimaryInfant" w:cs="Arial"/>
          <w:sz w:val="36"/>
          <w:szCs w:val="36"/>
          <w:lang w:eastAsia="en-GB"/>
        </w:rPr>
        <w:t>Composition:</w:t>
      </w:r>
      <w:r w:rsidRPr="00B60D2C">
        <w:rPr>
          <w:rFonts w:ascii="Arial" w:hAnsi="Arial" w:cs="Arial"/>
          <w:color w:val="585858"/>
          <w:sz w:val="21"/>
          <w:szCs w:val="21"/>
          <w:shd w:val="clear" w:color="auto" w:fill="FFFFFF"/>
        </w:rPr>
        <w:t xml:space="preserve"> </w:t>
      </w:r>
      <w:r w:rsidRPr="00B60D2C">
        <w:rPr>
          <w:rFonts w:ascii="SassoonPrimaryInfant" w:hAnsi="SassoonPrimaryInfant" w:cs="Arial"/>
          <w:color w:val="585858"/>
          <w:sz w:val="32"/>
          <w:szCs w:val="32"/>
          <w:shd w:val="clear" w:color="auto" w:fill="FFFFFF"/>
        </w:rPr>
        <w:t>Understanding that one number can be made up from (composed from) two or more smaller numbers</w:t>
      </w:r>
    </w:p>
    <w:p w:rsidR="00B60D2C" w:rsidRPr="00B60D2C" w:rsidRDefault="00B60D2C" w:rsidP="00EE2FD6">
      <w:pPr>
        <w:pStyle w:val="ListParagraph"/>
        <w:numPr>
          <w:ilvl w:val="0"/>
          <w:numId w:val="1"/>
        </w:numPr>
        <w:spacing w:after="0" w:line="240" w:lineRule="auto"/>
        <w:rPr>
          <w:rFonts w:ascii="SassoonPrimaryInfant" w:eastAsia="Times New Roman" w:hAnsi="SassoonPrimaryInfant" w:cs="Arial"/>
          <w:sz w:val="36"/>
          <w:szCs w:val="36"/>
          <w:lang w:eastAsia="en-GB"/>
        </w:rPr>
      </w:pPr>
      <w:r>
        <w:rPr>
          <w:rFonts w:ascii="SassoonPrimaryInfant" w:eastAsia="Times New Roman" w:hAnsi="SassoonPrimaryInfant" w:cs="Arial"/>
          <w:sz w:val="36"/>
          <w:szCs w:val="36"/>
          <w:lang w:eastAsia="en-GB"/>
        </w:rPr>
        <w:t xml:space="preserve">Pattern: </w:t>
      </w:r>
      <w:r w:rsidRPr="00B60D2C">
        <w:rPr>
          <w:rFonts w:ascii="SassoonPrimaryInfant" w:hAnsi="SassoonPrimaryInfant" w:cs="Arial"/>
          <w:color w:val="585858"/>
          <w:sz w:val="32"/>
          <w:szCs w:val="32"/>
          <w:shd w:val="clear" w:color="auto" w:fill="FFFFFF"/>
        </w:rPr>
        <w:t>Looking for and finding patterns helps children notice and understand mathematical relationships</w:t>
      </w:r>
    </w:p>
    <w:p w:rsidR="00B60D2C" w:rsidRPr="00B60D2C" w:rsidRDefault="00B60D2C" w:rsidP="00EE2FD6">
      <w:pPr>
        <w:pStyle w:val="ListParagraph"/>
        <w:numPr>
          <w:ilvl w:val="0"/>
          <w:numId w:val="1"/>
        </w:numPr>
        <w:spacing w:after="0" w:line="240" w:lineRule="auto"/>
        <w:rPr>
          <w:rFonts w:ascii="SassoonPrimaryInfant" w:eastAsia="Times New Roman" w:hAnsi="SassoonPrimaryInfant" w:cs="Arial"/>
          <w:sz w:val="36"/>
          <w:szCs w:val="36"/>
          <w:lang w:eastAsia="en-GB"/>
        </w:rPr>
      </w:pPr>
      <w:r>
        <w:rPr>
          <w:rFonts w:ascii="SassoonPrimaryInfant" w:eastAsia="Times New Roman" w:hAnsi="SassoonPrimaryInfant" w:cs="Arial"/>
          <w:sz w:val="36"/>
          <w:szCs w:val="36"/>
          <w:lang w:eastAsia="en-GB"/>
        </w:rPr>
        <w:t>Shape and Space:</w:t>
      </w:r>
      <w:r w:rsidRPr="00B60D2C">
        <w:rPr>
          <w:rFonts w:ascii="Arial" w:hAnsi="Arial" w:cs="Arial"/>
          <w:color w:val="585858"/>
          <w:sz w:val="21"/>
          <w:szCs w:val="21"/>
          <w:shd w:val="clear" w:color="auto" w:fill="FFFFFF"/>
        </w:rPr>
        <w:t xml:space="preserve"> </w:t>
      </w:r>
      <w:r w:rsidRPr="00B60D2C">
        <w:rPr>
          <w:rFonts w:ascii="SassoonPrimaryInfant" w:hAnsi="SassoonPrimaryInfant" w:cs="Arial"/>
          <w:color w:val="585858"/>
          <w:sz w:val="32"/>
          <w:szCs w:val="32"/>
          <w:shd w:val="clear" w:color="auto" w:fill="FFFFFF"/>
        </w:rPr>
        <w:t>Understanding what happens when shapes move, or combine with other shapes, helps develop wider mathematical thinking</w:t>
      </w:r>
    </w:p>
    <w:p w:rsidR="00B60D2C" w:rsidRPr="004603B2" w:rsidRDefault="00B60D2C" w:rsidP="00EE2FD6">
      <w:pPr>
        <w:pStyle w:val="ListParagraph"/>
        <w:numPr>
          <w:ilvl w:val="0"/>
          <w:numId w:val="1"/>
        </w:numPr>
        <w:spacing w:after="0" w:line="240" w:lineRule="auto"/>
        <w:rPr>
          <w:rFonts w:ascii="SassoonPrimaryInfant" w:eastAsia="Times New Roman" w:hAnsi="SassoonPrimaryInfant" w:cs="Arial"/>
          <w:sz w:val="32"/>
          <w:szCs w:val="32"/>
          <w:lang w:eastAsia="en-GB"/>
        </w:rPr>
      </w:pPr>
      <w:r>
        <w:rPr>
          <w:rFonts w:ascii="SassoonPrimaryInfant" w:eastAsia="Times New Roman" w:hAnsi="SassoonPrimaryInfant" w:cs="Arial"/>
          <w:sz w:val="36"/>
          <w:szCs w:val="36"/>
          <w:lang w:eastAsia="en-GB"/>
        </w:rPr>
        <w:t xml:space="preserve">Measures: </w:t>
      </w:r>
      <w:r w:rsidR="004603B2" w:rsidRPr="004603B2">
        <w:rPr>
          <w:rFonts w:ascii="SassoonPrimaryInfant" w:hAnsi="SassoonPrimaryInfant" w:cs="Arial"/>
          <w:color w:val="585858"/>
          <w:sz w:val="32"/>
          <w:szCs w:val="32"/>
          <w:shd w:val="clear" w:color="auto" w:fill="FFFFFF"/>
        </w:rPr>
        <w:t>Comparing different aspects such as length, weight and volume, as a preliminary to using units to compare later</w:t>
      </w:r>
    </w:p>
    <w:p w:rsidR="004603B2" w:rsidRDefault="004603B2" w:rsidP="004603B2">
      <w:pPr>
        <w:pStyle w:val="NormalWeb"/>
        <w:shd w:val="clear" w:color="auto" w:fill="FFFFFF"/>
        <w:spacing w:before="0" w:beforeAutospacing="0"/>
        <w:jc w:val="both"/>
        <w:rPr>
          <w:rFonts w:ascii="SassoonPrimaryInfant" w:hAnsi="SassoonPrimaryInfant" w:cs="Arial"/>
        </w:rPr>
      </w:pPr>
    </w:p>
    <w:p w:rsidR="004603B2" w:rsidRPr="004603B2" w:rsidRDefault="004603B2" w:rsidP="004603B2">
      <w:pPr>
        <w:pStyle w:val="NormalWeb"/>
        <w:shd w:val="clear" w:color="auto" w:fill="FFFFFF"/>
        <w:spacing w:before="0" w:beforeAutospacing="0"/>
        <w:jc w:val="both"/>
        <w:rPr>
          <w:rFonts w:ascii="SassoonPrimaryInfant" w:hAnsi="SassoonPrimaryInfant" w:cs="Arial"/>
        </w:rPr>
      </w:pPr>
      <w:r w:rsidRPr="004603B2">
        <w:rPr>
          <w:rFonts w:ascii="SassoonPrimaryInfant" w:hAnsi="SassoonPrimaryInfant" w:cs="Arial"/>
        </w:rPr>
        <w:t xml:space="preserve">Links for NCTEM </w:t>
      </w:r>
      <w:r>
        <w:rPr>
          <w:rFonts w:ascii="SassoonPrimaryInfant" w:hAnsi="SassoonPrimaryInfant" w:cs="Arial"/>
        </w:rPr>
        <w:t>progression</w:t>
      </w:r>
      <w:r w:rsidRPr="004603B2">
        <w:rPr>
          <w:rFonts w:ascii="SassoonPrimaryInfant" w:hAnsi="SassoonPrimaryInfant" w:cs="Arial"/>
        </w:rPr>
        <w:t xml:space="preserve"> maps for each area of learning.</w:t>
      </w:r>
    </w:p>
    <w:p w:rsidR="004603B2" w:rsidRPr="004603B2" w:rsidRDefault="008C49D9" w:rsidP="004603B2">
      <w:pPr>
        <w:pStyle w:val="NormalWeb"/>
        <w:numPr>
          <w:ilvl w:val="0"/>
          <w:numId w:val="1"/>
        </w:numPr>
        <w:shd w:val="clear" w:color="auto" w:fill="FFFFFF"/>
        <w:spacing w:before="0" w:beforeAutospacing="0"/>
        <w:jc w:val="both"/>
        <w:rPr>
          <w:rFonts w:ascii="SassoonPrimaryInfant" w:hAnsi="SassoonPrimaryInfant" w:cs="Arial"/>
          <w:color w:val="585858"/>
        </w:rPr>
      </w:pPr>
      <w:hyperlink r:id="rId5" w:history="1">
        <w:r w:rsidR="004603B2" w:rsidRPr="004603B2">
          <w:rPr>
            <w:rStyle w:val="Hyperlink"/>
            <w:rFonts w:ascii="SassoonPrimaryInfant" w:hAnsi="SassoonPrimaryInfant" w:cs="Arial"/>
          </w:rPr>
          <w:t>https://www.ncetm.org.uk/media/zpujdwv4/typical-progression-cardinality-and-counting.pdf</w:t>
        </w:r>
      </w:hyperlink>
    </w:p>
    <w:p w:rsidR="004603B2" w:rsidRPr="004603B2" w:rsidRDefault="008C49D9" w:rsidP="004603B2">
      <w:pPr>
        <w:pStyle w:val="NormalWeb"/>
        <w:numPr>
          <w:ilvl w:val="0"/>
          <w:numId w:val="1"/>
        </w:numPr>
        <w:shd w:val="clear" w:color="auto" w:fill="FFFFFF"/>
        <w:spacing w:before="0" w:beforeAutospacing="0"/>
        <w:jc w:val="both"/>
        <w:rPr>
          <w:rFonts w:ascii="SassoonPrimaryInfant" w:hAnsi="SassoonPrimaryInfant" w:cs="Arial"/>
          <w:color w:val="585858"/>
        </w:rPr>
      </w:pPr>
      <w:hyperlink r:id="rId6" w:history="1">
        <w:r w:rsidR="004603B2" w:rsidRPr="004603B2">
          <w:rPr>
            <w:rStyle w:val="Hyperlink"/>
            <w:rFonts w:ascii="SassoonPrimaryInfant" w:hAnsi="SassoonPrimaryInfant" w:cs="Arial"/>
          </w:rPr>
          <w:t>https://www.ncetm.org.uk/media/wvqgcfqm/typical-progression-comparison.pdf</w:t>
        </w:r>
      </w:hyperlink>
    </w:p>
    <w:p w:rsidR="004603B2" w:rsidRPr="004603B2" w:rsidRDefault="008C49D9" w:rsidP="004603B2">
      <w:pPr>
        <w:pStyle w:val="NormalWeb"/>
        <w:numPr>
          <w:ilvl w:val="0"/>
          <w:numId w:val="1"/>
        </w:numPr>
        <w:shd w:val="clear" w:color="auto" w:fill="FFFFFF"/>
        <w:spacing w:before="0" w:beforeAutospacing="0"/>
        <w:jc w:val="both"/>
        <w:rPr>
          <w:rFonts w:ascii="SassoonPrimaryInfant" w:hAnsi="SassoonPrimaryInfant" w:cs="Arial"/>
          <w:color w:val="585858"/>
        </w:rPr>
      </w:pPr>
      <w:hyperlink r:id="rId7" w:history="1">
        <w:r w:rsidR="004603B2" w:rsidRPr="004603B2">
          <w:rPr>
            <w:rStyle w:val="Hyperlink"/>
            <w:rFonts w:ascii="SassoonPrimaryInfant" w:hAnsi="SassoonPrimaryInfant" w:cs="Arial"/>
          </w:rPr>
          <w:t>https://www.ncetm.org.uk/media/a5cetjqq/typical-progression-composition.pdf</w:t>
        </w:r>
      </w:hyperlink>
    </w:p>
    <w:p w:rsidR="004603B2" w:rsidRPr="004603B2" w:rsidRDefault="008C49D9" w:rsidP="004603B2">
      <w:pPr>
        <w:pStyle w:val="NormalWeb"/>
        <w:numPr>
          <w:ilvl w:val="0"/>
          <w:numId w:val="1"/>
        </w:numPr>
        <w:shd w:val="clear" w:color="auto" w:fill="FFFFFF"/>
        <w:spacing w:before="0" w:beforeAutospacing="0"/>
        <w:jc w:val="both"/>
        <w:rPr>
          <w:rFonts w:ascii="SassoonPrimaryInfant" w:hAnsi="SassoonPrimaryInfant" w:cs="Arial"/>
          <w:color w:val="585858"/>
        </w:rPr>
      </w:pPr>
      <w:hyperlink r:id="rId8" w:history="1">
        <w:r w:rsidR="004603B2" w:rsidRPr="004603B2">
          <w:rPr>
            <w:rStyle w:val="Hyperlink"/>
            <w:rFonts w:ascii="SassoonPrimaryInfant" w:hAnsi="SassoonPrimaryInfant" w:cs="Arial"/>
          </w:rPr>
          <w:t>https://www.ncetm.org.uk/media/5csbtyon/typical-progression-pattern.pdf</w:t>
        </w:r>
      </w:hyperlink>
    </w:p>
    <w:p w:rsidR="00656C9C" w:rsidRDefault="004603B2" w:rsidP="004603B2">
      <w:pPr>
        <w:pStyle w:val="NormalWeb"/>
        <w:shd w:val="clear" w:color="auto" w:fill="FFFFFF"/>
        <w:jc w:val="both"/>
        <w:rPr>
          <w:rFonts w:ascii="SassoonPrimaryInfant" w:hAnsi="SassoonPrimaryInfant" w:cs="Arial"/>
          <w:sz w:val="25"/>
          <w:szCs w:val="25"/>
          <w:shd w:val="clear" w:color="auto" w:fill="FFFFFF"/>
        </w:rPr>
      </w:pPr>
      <w:r w:rsidRPr="004603B2">
        <w:rPr>
          <w:rFonts w:ascii="SassoonPrimaryInfant" w:hAnsi="SassoonPrimaryInfant" w:cs="Tahoma"/>
        </w:rPr>
        <w:t xml:space="preserve">We also use </w:t>
      </w:r>
      <w:proofErr w:type="spellStart"/>
      <w:r w:rsidRPr="004603B2">
        <w:rPr>
          <w:rFonts w:ascii="SassoonPrimaryInfant" w:hAnsi="SassoonPrimaryInfant" w:cs="Tahoma"/>
        </w:rPr>
        <w:t>numberblocks</w:t>
      </w:r>
      <w:proofErr w:type="spellEnd"/>
      <w:r w:rsidRPr="004603B2">
        <w:rPr>
          <w:rFonts w:ascii="SassoonPrimaryInfant" w:hAnsi="SassoonPrimaryInfant" w:cs="Tahoma"/>
        </w:rPr>
        <w:t xml:space="preserve"> to supplement our teaching </w:t>
      </w:r>
      <w:r w:rsidRPr="004603B2">
        <w:rPr>
          <w:rFonts w:ascii="SassoonPrimaryInfant" w:hAnsi="SassoonPrimaryInfant" w:cs="Arial"/>
          <w:sz w:val="25"/>
          <w:szCs w:val="25"/>
          <w:shd w:val="clear" w:color="auto" w:fill="FFFFFF"/>
        </w:rPr>
        <w:t>The NCETM materials use each episode as a launch pad. They are designed to assist Early Years</w:t>
      </w:r>
      <w:r>
        <w:rPr>
          <w:rFonts w:ascii="SassoonPrimaryInfant" w:hAnsi="SassoonPrimaryInfant" w:cs="Arial"/>
          <w:sz w:val="25"/>
          <w:szCs w:val="25"/>
          <w:shd w:val="clear" w:color="auto" w:fill="FFFFFF"/>
        </w:rPr>
        <w:t xml:space="preserve"> </w:t>
      </w:r>
      <w:r w:rsidRPr="004603B2">
        <w:rPr>
          <w:rFonts w:ascii="SassoonPrimaryInfant" w:hAnsi="SassoonPrimaryInfant" w:cs="Arial"/>
          <w:sz w:val="25"/>
          <w:szCs w:val="25"/>
          <w:shd w:val="clear" w:color="auto" w:fill="FFFFFF"/>
        </w:rPr>
        <w:t>practitioners to confidently move on from an episode, helping children to bring the numbers and ideas to life in the world around them.</w:t>
      </w:r>
    </w:p>
    <w:p w:rsidR="00EB25EB" w:rsidRDefault="00656C9C" w:rsidP="00EB25EB">
      <w:pPr>
        <w:pStyle w:val="NormalWeb"/>
        <w:shd w:val="clear" w:color="auto" w:fill="FFFFFF"/>
        <w:jc w:val="both"/>
        <w:rPr>
          <w:rFonts w:ascii="SassoonPrimaryInfant" w:hAnsi="SassoonPrimaryInfant"/>
          <w:color w:val="000000"/>
          <w:sz w:val="32"/>
          <w:szCs w:val="32"/>
          <w:shd w:val="clear" w:color="auto" w:fill="FFFFFF"/>
        </w:rPr>
      </w:pPr>
      <w:r w:rsidRPr="00EB25EB">
        <w:rPr>
          <w:rFonts w:ascii="SassoonPrimaryInfant" w:hAnsi="SassoonPrimaryInfant" w:cs="Arial"/>
          <w:sz w:val="32"/>
          <w:szCs w:val="32"/>
          <w:shd w:val="clear" w:color="auto" w:fill="FFFFFF"/>
        </w:rPr>
        <w:lastRenderedPageBreak/>
        <w:t xml:space="preserve">St Bridget’s children in F2 have daily maths carpet sessions planned from the above, they also have an additional daily teaching session following the NCTEM mastering number programme. This programme supports pupils in developing a good number sense: </w:t>
      </w:r>
      <w:r w:rsidRPr="00EB25EB">
        <w:rPr>
          <w:rFonts w:ascii="SassoonPrimaryInfant" w:hAnsi="SassoonPrimaryInfant"/>
          <w:color w:val="000000"/>
          <w:sz w:val="32"/>
          <w:szCs w:val="32"/>
          <w:shd w:val="clear" w:color="auto" w:fill="FFFFFF"/>
        </w:rPr>
        <w:t xml:space="preserve">strengthening the understanding of number and fluency with number facts. </w:t>
      </w:r>
    </w:p>
    <w:p w:rsidR="00EE2FD6" w:rsidRPr="00EB25EB" w:rsidRDefault="00EE2FD6" w:rsidP="00EB25EB">
      <w:pPr>
        <w:pStyle w:val="NormalWeb"/>
        <w:shd w:val="clear" w:color="auto" w:fill="FFFFFF"/>
        <w:jc w:val="both"/>
        <w:rPr>
          <w:rFonts w:ascii="SassoonPrimaryInfant" w:hAnsi="SassoonPrimaryInfant" w:cs="Arial"/>
          <w:sz w:val="32"/>
          <w:szCs w:val="32"/>
          <w:shd w:val="clear" w:color="auto" w:fill="FFFFFF"/>
        </w:rPr>
      </w:pPr>
    </w:p>
    <w:tbl>
      <w:tblPr>
        <w:tblStyle w:val="TableGrid"/>
        <w:tblW w:w="0" w:type="auto"/>
        <w:tblLook w:val="04A0" w:firstRow="1" w:lastRow="0" w:firstColumn="1" w:lastColumn="0" w:noHBand="0" w:noVBand="1"/>
      </w:tblPr>
      <w:tblGrid>
        <w:gridCol w:w="3539"/>
        <w:gridCol w:w="6917"/>
      </w:tblGrid>
      <w:tr w:rsidR="004E728D" w:rsidTr="00EB25EB">
        <w:tc>
          <w:tcPr>
            <w:tcW w:w="3539" w:type="dxa"/>
          </w:tcPr>
          <w:p w:rsidR="004E728D" w:rsidRPr="00EB25EB" w:rsidRDefault="004E728D" w:rsidP="004E728D">
            <w:pPr>
              <w:jc w:val="center"/>
              <w:rPr>
                <w:rFonts w:ascii="SassoonPrimaryInfant" w:hAnsi="SassoonPrimaryInfant"/>
                <w:b/>
                <w:sz w:val="36"/>
                <w:szCs w:val="36"/>
              </w:rPr>
            </w:pPr>
            <w:r w:rsidRPr="00EB25EB">
              <w:rPr>
                <w:rFonts w:ascii="SassoonPrimaryInfant" w:hAnsi="SassoonPrimaryInfant"/>
                <w:b/>
                <w:sz w:val="36"/>
                <w:szCs w:val="36"/>
              </w:rPr>
              <w:t>Autumn 1</w:t>
            </w:r>
          </w:p>
        </w:tc>
        <w:tc>
          <w:tcPr>
            <w:tcW w:w="6917" w:type="dxa"/>
          </w:tcPr>
          <w:p w:rsidR="004E728D" w:rsidRPr="00EB25EB" w:rsidRDefault="004E728D" w:rsidP="004E728D">
            <w:pPr>
              <w:jc w:val="center"/>
              <w:rPr>
                <w:rFonts w:ascii="SassoonPrimaryInfant" w:hAnsi="SassoonPrimaryInfant"/>
                <w:sz w:val="36"/>
                <w:szCs w:val="36"/>
              </w:rPr>
            </w:pPr>
            <w:r w:rsidRPr="00EB25EB">
              <w:rPr>
                <w:rFonts w:ascii="SassoonPrimaryInfant" w:hAnsi="SassoonPrimaryInfant"/>
                <w:sz w:val="36"/>
                <w:szCs w:val="36"/>
              </w:rPr>
              <w:t xml:space="preserve">Baseline </w:t>
            </w:r>
          </w:p>
          <w:p w:rsidR="004E728D" w:rsidRPr="00EB25EB" w:rsidRDefault="008122E9" w:rsidP="004E728D">
            <w:pPr>
              <w:jc w:val="center"/>
              <w:rPr>
                <w:rFonts w:ascii="SassoonPrimaryInfant" w:hAnsi="SassoonPrimaryInfant"/>
                <w:sz w:val="36"/>
                <w:szCs w:val="36"/>
              </w:rPr>
            </w:pPr>
            <w:r w:rsidRPr="00EB25EB">
              <w:rPr>
                <w:rFonts w:ascii="SassoonPrimaryInfant" w:hAnsi="SassoonPrimaryInfant"/>
                <w:sz w:val="36"/>
                <w:szCs w:val="36"/>
              </w:rPr>
              <w:t>Understanding numbers</w:t>
            </w:r>
            <w:r w:rsidR="004E728D" w:rsidRPr="00EB25EB">
              <w:rPr>
                <w:rFonts w:ascii="SassoonPrimaryInfant" w:hAnsi="SassoonPrimaryInfant"/>
                <w:sz w:val="36"/>
                <w:szCs w:val="36"/>
              </w:rPr>
              <w:t xml:space="preserve"> 1-</w:t>
            </w:r>
            <w:r w:rsidRPr="00EB25EB">
              <w:rPr>
                <w:rFonts w:ascii="SassoonPrimaryInfant" w:hAnsi="SassoonPrimaryInfant"/>
                <w:sz w:val="36"/>
                <w:szCs w:val="36"/>
              </w:rPr>
              <w:t xml:space="preserve"> 3</w:t>
            </w:r>
          </w:p>
        </w:tc>
      </w:tr>
      <w:tr w:rsidR="004E728D" w:rsidTr="00EB25EB">
        <w:tc>
          <w:tcPr>
            <w:tcW w:w="3539" w:type="dxa"/>
          </w:tcPr>
          <w:p w:rsidR="004E728D" w:rsidRPr="00EB25EB" w:rsidRDefault="004E728D" w:rsidP="004E728D">
            <w:pPr>
              <w:jc w:val="center"/>
              <w:rPr>
                <w:rFonts w:ascii="SassoonPrimaryInfant" w:hAnsi="SassoonPrimaryInfant"/>
                <w:b/>
                <w:sz w:val="36"/>
                <w:szCs w:val="36"/>
              </w:rPr>
            </w:pPr>
            <w:r w:rsidRPr="00EB25EB">
              <w:rPr>
                <w:rFonts w:ascii="SassoonPrimaryInfant" w:hAnsi="SassoonPrimaryInfant"/>
                <w:b/>
                <w:sz w:val="36"/>
                <w:szCs w:val="36"/>
              </w:rPr>
              <w:t>Autumn 2</w:t>
            </w:r>
          </w:p>
        </w:tc>
        <w:tc>
          <w:tcPr>
            <w:tcW w:w="6917" w:type="dxa"/>
          </w:tcPr>
          <w:p w:rsidR="004E728D" w:rsidRPr="00EB25EB" w:rsidRDefault="008122E9" w:rsidP="004E728D">
            <w:pPr>
              <w:jc w:val="center"/>
              <w:rPr>
                <w:rFonts w:ascii="SassoonPrimaryInfant" w:hAnsi="SassoonPrimaryInfant"/>
                <w:sz w:val="36"/>
                <w:szCs w:val="36"/>
              </w:rPr>
            </w:pPr>
            <w:r w:rsidRPr="00EB25EB">
              <w:rPr>
                <w:rFonts w:ascii="SassoonPrimaryInfant" w:hAnsi="SassoonPrimaryInfant"/>
                <w:sz w:val="36"/>
                <w:szCs w:val="36"/>
              </w:rPr>
              <w:t xml:space="preserve">Understanding numbers </w:t>
            </w:r>
          </w:p>
          <w:p w:rsidR="008122E9" w:rsidRPr="00EB25EB" w:rsidRDefault="008122E9" w:rsidP="004E728D">
            <w:pPr>
              <w:jc w:val="center"/>
              <w:rPr>
                <w:rFonts w:ascii="SassoonPrimaryInfant" w:hAnsi="SassoonPrimaryInfant"/>
                <w:sz w:val="36"/>
                <w:szCs w:val="36"/>
              </w:rPr>
            </w:pPr>
            <w:r w:rsidRPr="00EB25EB">
              <w:rPr>
                <w:rFonts w:ascii="SassoonPrimaryInfant" w:hAnsi="SassoonPrimaryInfant"/>
                <w:sz w:val="36"/>
                <w:szCs w:val="36"/>
              </w:rPr>
              <w:t xml:space="preserve">4 – 6 </w:t>
            </w:r>
            <w:r w:rsidR="00F42704">
              <w:rPr>
                <w:rFonts w:ascii="SassoonPrimaryInfant" w:hAnsi="SassoonPrimaryInfant"/>
                <w:sz w:val="36"/>
                <w:szCs w:val="36"/>
              </w:rPr>
              <w:t xml:space="preserve">and </w:t>
            </w:r>
            <w:r w:rsidR="00580EF3">
              <w:rPr>
                <w:rFonts w:ascii="SassoonPrimaryInfant" w:hAnsi="SassoonPrimaryInfant"/>
                <w:sz w:val="36"/>
                <w:szCs w:val="36"/>
              </w:rPr>
              <w:t>0</w:t>
            </w:r>
          </w:p>
        </w:tc>
      </w:tr>
      <w:tr w:rsidR="004E728D" w:rsidTr="00EB25EB">
        <w:tc>
          <w:tcPr>
            <w:tcW w:w="3539" w:type="dxa"/>
          </w:tcPr>
          <w:p w:rsidR="004E728D" w:rsidRPr="00EB25EB" w:rsidRDefault="004E728D" w:rsidP="004E728D">
            <w:pPr>
              <w:jc w:val="center"/>
              <w:rPr>
                <w:rFonts w:ascii="SassoonPrimaryInfant" w:hAnsi="SassoonPrimaryInfant"/>
                <w:b/>
                <w:sz w:val="36"/>
                <w:szCs w:val="36"/>
              </w:rPr>
            </w:pPr>
            <w:r w:rsidRPr="00EB25EB">
              <w:rPr>
                <w:rFonts w:ascii="SassoonPrimaryInfant" w:hAnsi="SassoonPrimaryInfant"/>
                <w:b/>
                <w:sz w:val="36"/>
                <w:szCs w:val="36"/>
              </w:rPr>
              <w:t>Spring 1</w:t>
            </w:r>
          </w:p>
        </w:tc>
        <w:tc>
          <w:tcPr>
            <w:tcW w:w="6917" w:type="dxa"/>
          </w:tcPr>
          <w:p w:rsidR="004E728D" w:rsidRPr="00EB25EB" w:rsidRDefault="008122E9" w:rsidP="004E728D">
            <w:pPr>
              <w:jc w:val="center"/>
              <w:rPr>
                <w:rFonts w:ascii="SassoonPrimaryInfant" w:hAnsi="SassoonPrimaryInfant"/>
                <w:sz w:val="36"/>
                <w:szCs w:val="36"/>
              </w:rPr>
            </w:pPr>
            <w:r w:rsidRPr="00EB25EB">
              <w:rPr>
                <w:rFonts w:ascii="SassoonPrimaryInfant" w:hAnsi="SassoonPrimaryInfant"/>
                <w:sz w:val="36"/>
                <w:szCs w:val="36"/>
              </w:rPr>
              <w:t xml:space="preserve">Understanding numbers </w:t>
            </w:r>
          </w:p>
          <w:p w:rsidR="00656C9C" w:rsidRPr="00EB25EB" w:rsidRDefault="00656C9C" w:rsidP="004E728D">
            <w:pPr>
              <w:jc w:val="center"/>
              <w:rPr>
                <w:rFonts w:ascii="SassoonPrimaryInfant" w:hAnsi="SassoonPrimaryInfant"/>
                <w:sz w:val="36"/>
                <w:szCs w:val="36"/>
              </w:rPr>
            </w:pPr>
            <w:r w:rsidRPr="00EB25EB">
              <w:rPr>
                <w:rFonts w:ascii="SassoonPrimaryInfant" w:hAnsi="SassoonPrimaryInfant"/>
                <w:sz w:val="36"/>
                <w:szCs w:val="36"/>
              </w:rPr>
              <w:t>7-10</w:t>
            </w:r>
          </w:p>
        </w:tc>
      </w:tr>
      <w:tr w:rsidR="004E728D" w:rsidTr="00EB25EB">
        <w:tc>
          <w:tcPr>
            <w:tcW w:w="3539" w:type="dxa"/>
          </w:tcPr>
          <w:p w:rsidR="004E728D" w:rsidRPr="00EB25EB" w:rsidRDefault="004E728D" w:rsidP="004E728D">
            <w:pPr>
              <w:jc w:val="center"/>
              <w:rPr>
                <w:rFonts w:ascii="SassoonPrimaryInfant" w:hAnsi="SassoonPrimaryInfant"/>
                <w:b/>
                <w:sz w:val="36"/>
                <w:szCs w:val="36"/>
              </w:rPr>
            </w:pPr>
            <w:r w:rsidRPr="00EB25EB">
              <w:rPr>
                <w:rFonts w:ascii="SassoonPrimaryInfant" w:hAnsi="SassoonPrimaryInfant"/>
                <w:b/>
                <w:sz w:val="36"/>
                <w:szCs w:val="36"/>
              </w:rPr>
              <w:t>Spring 2</w:t>
            </w:r>
          </w:p>
        </w:tc>
        <w:tc>
          <w:tcPr>
            <w:tcW w:w="6917" w:type="dxa"/>
          </w:tcPr>
          <w:p w:rsidR="00656C9C" w:rsidRPr="00EB25EB" w:rsidRDefault="00EB25EB" w:rsidP="00656C9C">
            <w:pPr>
              <w:jc w:val="center"/>
              <w:rPr>
                <w:rFonts w:ascii="SassoonPrimaryInfant" w:hAnsi="SassoonPrimaryInfant"/>
                <w:sz w:val="36"/>
                <w:szCs w:val="36"/>
              </w:rPr>
            </w:pPr>
            <w:r w:rsidRPr="00EB25EB">
              <w:rPr>
                <w:rFonts w:ascii="SassoonPrimaryInfant" w:hAnsi="SassoonPrimaryInfant"/>
                <w:sz w:val="36"/>
                <w:szCs w:val="36"/>
              </w:rPr>
              <w:t>Exploring</w:t>
            </w:r>
            <w:r w:rsidR="00656C9C" w:rsidRPr="00EB25EB">
              <w:rPr>
                <w:rFonts w:ascii="SassoonPrimaryInfant" w:hAnsi="SassoonPrimaryInfant"/>
                <w:sz w:val="36"/>
                <w:szCs w:val="36"/>
              </w:rPr>
              <w:t xml:space="preserve"> teen numbers </w:t>
            </w:r>
            <w:r w:rsidRPr="00EB25EB">
              <w:rPr>
                <w:rFonts w:ascii="SassoonPrimaryInfant" w:hAnsi="SassoonPrimaryInfant"/>
                <w:sz w:val="36"/>
                <w:szCs w:val="36"/>
              </w:rPr>
              <w:t>(11-12)</w:t>
            </w:r>
          </w:p>
          <w:p w:rsidR="00EB25EB" w:rsidRPr="00EB25EB" w:rsidRDefault="00EB25EB" w:rsidP="00656C9C">
            <w:pPr>
              <w:jc w:val="center"/>
              <w:rPr>
                <w:rFonts w:ascii="SassoonPrimaryInfant" w:hAnsi="SassoonPrimaryInfant"/>
                <w:sz w:val="36"/>
                <w:szCs w:val="36"/>
              </w:rPr>
            </w:pPr>
            <w:r w:rsidRPr="00EB25EB">
              <w:rPr>
                <w:rFonts w:ascii="SassoonPrimaryInfant" w:hAnsi="SassoonPrimaryInfant"/>
                <w:sz w:val="36"/>
                <w:szCs w:val="36"/>
              </w:rPr>
              <w:t xml:space="preserve">Revisiting and consolidation of </w:t>
            </w:r>
          </w:p>
          <w:p w:rsidR="004E728D" w:rsidRPr="00EB25EB" w:rsidRDefault="00EB25EB" w:rsidP="00656C9C">
            <w:pPr>
              <w:jc w:val="center"/>
              <w:rPr>
                <w:rFonts w:ascii="SassoonPrimaryInfant" w:hAnsi="SassoonPrimaryInfant"/>
                <w:sz w:val="36"/>
                <w:szCs w:val="36"/>
              </w:rPr>
            </w:pPr>
            <w:r w:rsidRPr="00EB25EB">
              <w:rPr>
                <w:rFonts w:ascii="SassoonPrimaryInfant" w:hAnsi="SassoonPrimaryInfant"/>
                <w:sz w:val="36"/>
                <w:szCs w:val="36"/>
              </w:rPr>
              <w:t xml:space="preserve">1-10 for mastery </w:t>
            </w:r>
          </w:p>
        </w:tc>
      </w:tr>
      <w:tr w:rsidR="004E728D" w:rsidTr="00EB25EB">
        <w:tc>
          <w:tcPr>
            <w:tcW w:w="3539" w:type="dxa"/>
          </w:tcPr>
          <w:p w:rsidR="004E728D" w:rsidRPr="00EB25EB" w:rsidRDefault="004E728D" w:rsidP="004E728D">
            <w:pPr>
              <w:jc w:val="center"/>
              <w:rPr>
                <w:rFonts w:ascii="SassoonPrimaryInfant" w:hAnsi="SassoonPrimaryInfant"/>
                <w:b/>
                <w:sz w:val="36"/>
                <w:szCs w:val="36"/>
              </w:rPr>
            </w:pPr>
            <w:r w:rsidRPr="00EB25EB">
              <w:rPr>
                <w:rFonts w:ascii="SassoonPrimaryInfant" w:hAnsi="SassoonPrimaryInfant"/>
                <w:b/>
                <w:sz w:val="36"/>
                <w:szCs w:val="36"/>
              </w:rPr>
              <w:t>Summer 1</w:t>
            </w:r>
          </w:p>
        </w:tc>
        <w:tc>
          <w:tcPr>
            <w:tcW w:w="6917" w:type="dxa"/>
          </w:tcPr>
          <w:p w:rsidR="00EB25EB" w:rsidRPr="00EB25EB" w:rsidRDefault="00EB25EB" w:rsidP="00EB25EB">
            <w:pPr>
              <w:jc w:val="center"/>
              <w:rPr>
                <w:rFonts w:ascii="SassoonPrimaryInfant" w:hAnsi="SassoonPrimaryInfant"/>
                <w:sz w:val="36"/>
                <w:szCs w:val="36"/>
              </w:rPr>
            </w:pPr>
            <w:r w:rsidRPr="00EB25EB">
              <w:rPr>
                <w:rFonts w:ascii="SassoonPrimaryInfant" w:hAnsi="SassoonPrimaryInfant"/>
                <w:sz w:val="36"/>
                <w:szCs w:val="36"/>
              </w:rPr>
              <w:t>Exploring teen numbers (13-16)</w:t>
            </w:r>
          </w:p>
          <w:p w:rsidR="00EB25EB" w:rsidRPr="00EB25EB" w:rsidRDefault="00EB25EB" w:rsidP="00EB25EB">
            <w:pPr>
              <w:jc w:val="center"/>
              <w:rPr>
                <w:rFonts w:ascii="SassoonPrimaryInfant" w:hAnsi="SassoonPrimaryInfant"/>
                <w:sz w:val="36"/>
                <w:szCs w:val="36"/>
              </w:rPr>
            </w:pPr>
            <w:r w:rsidRPr="00EB25EB">
              <w:rPr>
                <w:rFonts w:ascii="SassoonPrimaryInfant" w:hAnsi="SassoonPrimaryInfant"/>
                <w:sz w:val="36"/>
                <w:szCs w:val="36"/>
              </w:rPr>
              <w:t xml:space="preserve">Revisiting and consolidation of </w:t>
            </w:r>
          </w:p>
          <w:p w:rsidR="004E728D" w:rsidRPr="00EB25EB" w:rsidRDefault="00EB25EB" w:rsidP="00EB25EB">
            <w:pPr>
              <w:jc w:val="center"/>
              <w:rPr>
                <w:rFonts w:ascii="SassoonPrimaryInfant" w:hAnsi="SassoonPrimaryInfant"/>
                <w:sz w:val="36"/>
                <w:szCs w:val="36"/>
              </w:rPr>
            </w:pPr>
            <w:r w:rsidRPr="00EB25EB">
              <w:rPr>
                <w:rFonts w:ascii="SassoonPrimaryInfant" w:hAnsi="SassoonPrimaryInfant"/>
                <w:sz w:val="36"/>
                <w:szCs w:val="36"/>
              </w:rPr>
              <w:t>1-10 for mastery</w:t>
            </w:r>
          </w:p>
        </w:tc>
      </w:tr>
      <w:tr w:rsidR="004E728D" w:rsidTr="00EB25EB">
        <w:tc>
          <w:tcPr>
            <w:tcW w:w="3539" w:type="dxa"/>
          </w:tcPr>
          <w:p w:rsidR="004E728D" w:rsidRPr="00EB25EB" w:rsidRDefault="004E728D" w:rsidP="004E728D">
            <w:pPr>
              <w:jc w:val="center"/>
              <w:rPr>
                <w:rFonts w:ascii="SassoonPrimaryInfant" w:hAnsi="SassoonPrimaryInfant"/>
                <w:b/>
                <w:sz w:val="36"/>
                <w:szCs w:val="36"/>
              </w:rPr>
            </w:pPr>
            <w:r w:rsidRPr="00EB25EB">
              <w:rPr>
                <w:rFonts w:ascii="SassoonPrimaryInfant" w:hAnsi="SassoonPrimaryInfant"/>
                <w:b/>
                <w:sz w:val="36"/>
                <w:szCs w:val="36"/>
              </w:rPr>
              <w:t xml:space="preserve">Summer 2 </w:t>
            </w:r>
          </w:p>
        </w:tc>
        <w:tc>
          <w:tcPr>
            <w:tcW w:w="6917" w:type="dxa"/>
          </w:tcPr>
          <w:p w:rsidR="00EB25EB" w:rsidRPr="00EB25EB" w:rsidRDefault="00EB25EB" w:rsidP="00EB25EB">
            <w:pPr>
              <w:jc w:val="center"/>
              <w:rPr>
                <w:rFonts w:ascii="SassoonPrimaryInfant" w:hAnsi="SassoonPrimaryInfant"/>
                <w:sz w:val="36"/>
                <w:szCs w:val="36"/>
              </w:rPr>
            </w:pPr>
            <w:r w:rsidRPr="00EB25EB">
              <w:rPr>
                <w:rFonts w:ascii="SassoonPrimaryInfant" w:hAnsi="SassoonPrimaryInfant"/>
                <w:sz w:val="36"/>
                <w:szCs w:val="36"/>
              </w:rPr>
              <w:t>Exploring teen numbers (17-20)</w:t>
            </w:r>
          </w:p>
          <w:p w:rsidR="00EB25EB" w:rsidRPr="00EB25EB" w:rsidRDefault="00EB25EB" w:rsidP="00EB25EB">
            <w:pPr>
              <w:jc w:val="center"/>
              <w:rPr>
                <w:rFonts w:ascii="SassoonPrimaryInfant" w:hAnsi="SassoonPrimaryInfant"/>
                <w:sz w:val="36"/>
                <w:szCs w:val="36"/>
              </w:rPr>
            </w:pPr>
            <w:r w:rsidRPr="00EB25EB">
              <w:rPr>
                <w:rFonts w:ascii="SassoonPrimaryInfant" w:hAnsi="SassoonPrimaryInfant"/>
                <w:sz w:val="36"/>
                <w:szCs w:val="36"/>
              </w:rPr>
              <w:t xml:space="preserve">Revisiting and consolidation of </w:t>
            </w:r>
          </w:p>
          <w:p w:rsidR="004E728D" w:rsidRPr="00EB25EB" w:rsidRDefault="00EB25EB" w:rsidP="00EB25EB">
            <w:pPr>
              <w:jc w:val="center"/>
              <w:rPr>
                <w:rFonts w:ascii="SassoonPrimaryInfant" w:hAnsi="SassoonPrimaryInfant"/>
                <w:sz w:val="36"/>
                <w:szCs w:val="36"/>
              </w:rPr>
            </w:pPr>
            <w:r w:rsidRPr="00EB25EB">
              <w:rPr>
                <w:rFonts w:ascii="SassoonPrimaryInfant" w:hAnsi="SassoonPrimaryInfant"/>
                <w:sz w:val="36"/>
                <w:szCs w:val="36"/>
              </w:rPr>
              <w:t>1-10 for mastery</w:t>
            </w:r>
          </w:p>
        </w:tc>
      </w:tr>
    </w:tbl>
    <w:p w:rsidR="00EB25EB" w:rsidRDefault="00EB25EB" w:rsidP="00EE2FD6">
      <w:pPr>
        <w:tabs>
          <w:tab w:val="left" w:pos="12350"/>
        </w:tabs>
        <w:rPr>
          <w:rFonts w:ascii="SassoonPrimaryInfant" w:hAnsi="SassoonPrimaryInfant"/>
          <w:b/>
          <w:bCs/>
          <w:sz w:val="24"/>
          <w:szCs w:val="24"/>
          <w:lang w:val="en-US"/>
        </w:rPr>
      </w:pPr>
    </w:p>
    <w:p w:rsidR="00EE2FD6" w:rsidRDefault="00EE2FD6" w:rsidP="00EE2FD6">
      <w:pPr>
        <w:tabs>
          <w:tab w:val="left" w:pos="12350"/>
        </w:tabs>
        <w:rPr>
          <w:rFonts w:ascii="SassoonPrimaryInfant" w:hAnsi="SassoonPrimaryInfant"/>
          <w:b/>
          <w:bCs/>
          <w:sz w:val="24"/>
          <w:szCs w:val="24"/>
          <w:lang w:val="en-US"/>
        </w:rPr>
      </w:pPr>
      <w:r w:rsidRPr="00965014">
        <w:rPr>
          <w:rFonts w:ascii="SassoonPrimaryInfant" w:hAnsi="SassoonPrimaryInfant"/>
          <w:b/>
          <w:bCs/>
          <w:sz w:val="24"/>
          <w:szCs w:val="24"/>
          <w:lang w:val="en-US"/>
        </w:rPr>
        <w:t>E</w:t>
      </w:r>
      <w:r>
        <w:rPr>
          <w:rFonts w:ascii="SassoonPrimaryInfant" w:hAnsi="SassoonPrimaryInfant"/>
          <w:b/>
          <w:bCs/>
          <w:sz w:val="24"/>
          <w:szCs w:val="24"/>
          <w:lang w:val="en-US"/>
        </w:rPr>
        <w:t>arly Learning Goals</w:t>
      </w:r>
      <w:r w:rsidRPr="00965014">
        <w:rPr>
          <w:rFonts w:ascii="SassoonPrimaryInfant" w:hAnsi="SassoonPrimaryInfant"/>
          <w:b/>
          <w:bCs/>
          <w:sz w:val="24"/>
          <w:szCs w:val="24"/>
          <w:lang w:val="en-US"/>
        </w:rPr>
        <w:t xml:space="preserve">: </w:t>
      </w:r>
    </w:p>
    <w:p w:rsidR="00EE2FD6" w:rsidRPr="00965014" w:rsidRDefault="00EE2FD6" w:rsidP="00EE2FD6">
      <w:pPr>
        <w:tabs>
          <w:tab w:val="left" w:pos="12350"/>
        </w:tabs>
        <w:rPr>
          <w:rFonts w:ascii="SassoonPrimaryInfant" w:hAnsi="SassoonPrimaryInfant"/>
          <w:sz w:val="24"/>
          <w:szCs w:val="24"/>
        </w:rPr>
      </w:pPr>
      <w:r w:rsidRPr="00965014">
        <w:rPr>
          <w:rFonts w:ascii="SassoonPrimaryInfant" w:hAnsi="SassoonPrimaryInfant"/>
          <w:b/>
          <w:bCs/>
          <w:sz w:val="24"/>
          <w:szCs w:val="24"/>
          <w:lang w:val="en-US"/>
        </w:rPr>
        <w:t xml:space="preserve">Number </w:t>
      </w:r>
    </w:p>
    <w:p w:rsidR="00EE2FD6" w:rsidRPr="00965014" w:rsidRDefault="00EE2FD6" w:rsidP="00EE2FD6">
      <w:pPr>
        <w:tabs>
          <w:tab w:val="left" w:pos="12350"/>
        </w:tabs>
        <w:rPr>
          <w:rFonts w:ascii="SassoonPrimaryInfant" w:hAnsi="SassoonPrimaryInfant"/>
          <w:sz w:val="24"/>
          <w:szCs w:val="24"/>
        </w:rPr>
      </w:pPr>
      <w:r w:rsidRPr="00965014">
        <w:rPr>
          <w:rFonts w:ascii="SassoonPrimaryInfant" w:hAnsi="SassoonPrimaryInfant"/>
          <w:sz w:val="24"/>
          <w:szCs w:val="24"/>
          <w:lang w:val="en-US"/>
        </w:rPr>
        <w:t xml:space="preserve">Have a deep understanding of number to 10, including the composition of each number; </w:t>
      </w:r>
    </w:p>
    <w:p w:rsidR="00EE2FD6" w:rsidRDefault="00EE2FD6" w:rsidP="00EE2FD6">
      <w:pPr>
        <w:tabs>
          <w:tab w:val="left" w:pos="12350"/>
        </w:tabs>
        <w:rPr>
          <w:rFonts w:ascii="SassoonPrimaryInfant" w:hAnsi="SassoonPrimaryInfant"/>
          <w:sz w:val="24"/>
          <w:szCs w:val="24"/>
          <w:lang w:val="en-US"/>
        </w:rPr>
      </w:pPr>
      <w:proofErr w:type="spellStart"/>
      <w:r w:rsidRPr="00965014">
        <w:rPr>
          <w:rFonts w:ascii="SassoonPrimaryInfant" w:hAnsi="SassoonPrimaryInfant"/>
          <w:sz w:val="24"/>
          <w:szCs w:val="24"/>
          <w:lang w:val="en-US"/>
        </w:rPr>
        <w:t>Subitise</w:t>
      </w:r>
      <w:proofErr w:type="spellEnd"/>
      <w:r w:rsidRPr="00965014">
        <w:rPr>
          <w:rFonts w:ascii="SassoonPrimaryInfant" w:hAnsi="SassoonPrimaryInfant"/>
          <w:sz w:val="24"/>
          <w:szCs w:val="24"/>
          <w:lang w:val="en-US"/>
        </w:rPr>
        <w:t xml:space="preserve"> (</w:t>
      </w:r>
      <w:proofErr w:type="spellStart"/>
      <w:r w:rsidRPr="00965014">
        <w:rPr>
          <w:rFonts w:ascii="SassoonPrimaryInfant" w:hAnsi="SassoonPrimaryInfant"/>
          <w:sz w:val="24"/>
          <w:szCs w:val="24"/>
          <w:lang w:val="en-US"/>
        </w:rPr>
        <w:t>recognise</w:t>
      </w:r>
      <w:proofErr w:type="spellEnd"/>
      <w:r w:rsidRPr="00965014">
        <w:rPr>
          <w:rFonts w:ascii="SassoonPrimaryInfant" w:hAnsi="SassoonPrimaryInfant"/>
          <w:sz w:val="24"/>
          <w:szCs w:val="24"/>
          <w:lang w:val="en-US"/>
        </w:rPr>
        <w:t xml:space="preserve"> quantities without counting) up to 5; - Automatically recall (without reference to rhymes, counting or other aids) number bonds up to 5 (including subtraction facts) and some number bonds to 10, including double facts. </w:t>
      </w:r>
    </w:p>
    <w:p w:rsidR="00EE2FD6" w:rsidRPr="00965014" w:rsidRDefault="00EE2FD6" w:rsidP="00EE2FD6">
      <w:pPr>
        <w:tabs>
          <w:tab w:val="left" w:pos="12350"/>
        </w:tabs>
        <w:rPr>
          <w:rFonts w:ascii="SassoonPrimaryInfant" w:hAnsi="SassoonPrimaryInfant"/>
          <w:sz w:val="24"/>
          <w:szCs w:val="24"/>
        </w:rPr>
      </w:pPr>
    </w:p>
    <w:p w:rsidR="00EE2FD6" w:rsidRPr="00965014" w:rsidRDefault="00EE2FD6" w:rsidP="00EE2FD6">
      <w:pPr>
        <w:tabs>
          <w:tab w:val="left" w:pos="12350"/>
        </w:tabs>
        <w:rPr>
          <w:rFonts w:ascii="SassoonPrimaryInfant" w:hAnsi="SassoonPrimaryInfant"/>
          <w:sz w:val="24"/>
          <w:szCs w:val="24"/>
        </w:rPr>
      </w:pPr>
      <w:r w:rsidRPr="00965014">
        <w:rPr>
          <w:rFonts w:ascii="SassoonPrimaryInfant" w:hAnsi="SassoonPrimaryInfant"/>
          <w:b/>
          <w:bCs/>
          <w:sz w:val="24"/>
          <w:szCs w:val="24"/>
          <w:lang w:val="en-US"/>
        </w:rPr>
        <w:t xml:space="preserve">Numerical Patterns </w:t>
      </w:r>
    </w:p>
    <w:p w:rsidR="00EE2FD6" w:rsidRPr="00965014" w:rsidRDefault="00EE2FD6" w:rsidP="00EE2FD6">
      <w:pPr>
        <w:tabs>
          <w:tab w:val="left" w:pos="12350"/>
        </w:tabs>
        <w:rPr>
          <w:rFonts w:ascii="SassoonPrimaryInfant" w:hAnsi="SassoonPrimaryInfant"/>
          <w:sz w:val="24"/>
          <w:szCs w:val="24"/>
        </w:rPr>
      </w:pPr>
      <w:r w:rsidRPr="00965014">
        <w:rPr>
          <w:rFonts w:ascii="SassoonPrimaryInfant" w:hAnsi="SassoonPrimaryInfant"/>
          <w:sz w:val="24"/>
          <w:szCs w:val="24"/>
          <w:lang w:val="en-US"/>
        </w:rPr>
        <w:t xml:space="preserve">Verbally count beyond 20, </w:t>
      </w:r>
      <w:proofErr w:type="spellStart"/>
      <w:r w:rsidRPr="00965014">
        <w:rPr>
          <w:rFonts w:ascii="SassoonPrimaryInfant" w:hAnsi="SassoonPrimaryInfant"/>
          <w:sz w:val="24"/>
          <w:szCs w:val="24"/>
          <w:lang w:val="en-US"/>
        </w:rPr>
        <w:t>recognising</w:t>
      </w:r>
      <w:proofErr w:type="spellEnd"/>
      <w:r w:rsidRPr="00965014">
        <w:rPr>
          <w:rFonts w:ascii="SassoonPrimaryInfant" w:hAnsi="SassoonPrimaryInfant"/>
          <w:sz w:val="24"/>
          <w:szCs w:val="24"/>
          <w:lang w:val="en-US"/>
        </w:rPr>
        <w:t xml:space="preserve"> the pattern of the counting system; - Compare quantities up to 10 in different contexts, </w:t>
      </w:r>
      <w:proofErr w:type="spellStart"/>
      <w:r w:rsidRPr="00965014">
        <w:rPr>
          <w:rFonts w:ascii="SassoonPrimaryInfant" w:hAnsi="SassoonPrimaryInfant"/>
          <w:sz w:val="24"/>
          <w:szCs w:val="24"/>
          <w:lang w:val="en-US"/>
        </w:rPr>
        <w:t>recognising</w:t>
      </w:r>
      <w:proofErr w:type="spellEnd"/>
      <w:r w:rsidRPr="00965014">
        <w:rPr>
          <w:rFonts w:ascii="SassoonPrimaryInfant" w:hAnsi="SassoonPrimaryInfant"/>
          <w:sz w:val="24"/>
          <w:szCs w:val="24"/>
          <w:lang w:val="en-US"/>
        </w:rPr>
        <w:t xml:space="preserve"> when one quantity is greater than, less than or the same as the other quantity. </w:t>
      </w:r>
    </w:p>
    <w:p w:rsidR="00EE2FD6" w:rsidRPr="00EB25EB" w:rsidRDefault="00EE2FD6" w:rsidP="00EB25EB">
      <w:pPr>
        <w:tabs>
          <w:tab w:val="left" w:pos="12350"/>
        </w:tabs>
        <w:rPr>
          <w:rFonts w:ascii="SassoonPrimaryInfant" w:hAnsi="SassoonPrimaryInfant"/>
          <w:sz w:val="24"/>
          <w:szCs w:val="24"/>
        </w:rPr>
      </w:pPr>
      <w:r w:rsidRPr="00965014">
        <w:rPr>
          <w:rFonts w:ascii="SassoonPrimaryInfant" w:hAnsi="SassoonPrimaryInfant"/>
          <w:sz w:val="24"/>
          <w:szCs w:val="24"/>
          <w:lang w:val="en-US"/>
        </w:rPr>
        <w:t xml:space="preserve"> Explore and represent patterns within numbers up to 10, including evens and odds, double facts and how quantities can be distributed equally.</w:t>
      </w:r>
    </w:p>
    <w:sectPr w:rsidR="00EE2FD6" w:rsidRPr="00EB25EB" w:rsidSect="004E72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7BB"/>
    <w:multiLevelType w:val="hybridMultilevel"/>
    <w:tmpl w:val="CB26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8D"/>
    <w:rsid w:val="002B1470"/>
    <w:rsid w:val="004603B2"/>
    <w:rsid w:val="004E728D"/>
    <w:rsid w:val="00580EF3"/>
    <w:rsid w:val="00656C9C"/>
    <w:rsid w:val="008122E9"/>
    <w:rsid w:val="008C49D9"/>
    <w:rsid w:val="00B60D2C"/>
    <w:rsid w:val="00EB25EB"/>
    <w:rsid w:val="00EE2FD6"/>
    <w:rsid w:val="00F42704"/>
    <w:rsid w:val="00FB7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0A36"/>
  <w15:chartTrackingRefBased/>
  <w15:docId w15:val="{2116A82E-EA50-43AE-A3E6-871CF4BA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FD6"/>
    <w:pPr>
      <w:ind w:left="720"/>
      <w:contextualSpacing/>
    </w:pPr>
  </w:style>
  <w:style w:type="paragraph" w:styleId="NormalWeb">
    <w:name w:val="Normal (Web)"/>
    <w:basedOn w:val="Normal"/>
    <w:uiPriority w:val="99"/>
    <w:unhideWhenUsed/>
    <w:rsid w:val="004603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4603B2"/>
    <w:rPr>
      <w:color w:val="0563C1" w:themeColor="hyperlink"/>
      <w:u w:val="single"/>
    </w:rPr>
  </w:style>
  <w:style w:type="character" w:styleId="FollowedHyperlink">
    <w:name w:val="FollowedHyperlink"/>
    <w:basedOn w:val="DefaultParagraphFont"/>
    <w:uiPriority w:val="99"/>
    <w:semiHidden/>
    <w:unhideWhenUsed/>
    <w:rsid w:val="004603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etm.org.uk/media/5csbtyon/typical-progression-pattern.pdf" TargetMode="External"/><Relationship Id="rId3" Type="http://schemas.openxmlformats.org/officeDocument/2006/relationships/settings" Target="settings.xml"/><Relationship Id="rId7" Type="http://schemas.openxmlformats.org/officeDocument/2006/relationships/hyperlink" Target="https://www.ncetm.org.uk/media/a5cetjqq/typical-progression-composi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etm.org.uk/media/wvqgcfqm/typical-progression-comparison.pdf" TargetMode="External"/><Relationship Id="rId5" Type="http://schemas.openxmlformats.org/officeDocument/2006/relationships/hyperlink" Target="https://www.ncetm.org.uk/media/zpujdwv4/typical-progression-cardinality-and-counting.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Cotterellr</dc:creator>
  <cp:keywords/>
  <dc:description/>
  <cp:lastModifiedBy>Cotterellr</cp:lastModifiedBy>
  <cp:revision>2</cp:revision>
  <dcterms:created xsi:type="dcterms:W3CDTF">2024-08-21T11:49:00Z</dcterms:created>
  <dcterms:modified xsi:type="dcterms:W3CDTF">2024-08-21T11:49:00Z</dcterms:modified>
</cp:coreProperties>
</file>