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assoonPrimaryInfant" w:cs="SassoonPrimaryInfant" w:eastAsia="SassoonPrimaryInfant" w:hAnsi="SassoonPrimaryInfant"/>
          <w:sz w:val="48"/>
          <w:szCs w:val="48"/>
        </w:rPr>
      </w:pPr>
      <w:bookmarkStart w:colFirst="0" w:colLast="0" w:name="_heading=h.gjdgxs" w:id="0"/>
      <w:bookmarkEnd w:id="0"/>
      <w:r w:rsidDel="00000000" w:rsidR="00000000" w:rsidRPr="00000000">
        <w:rPr>
          <w:rFonts w:ascii="SassoonPrimaryInfant" w:cs="SassoonPrimaryInfant" w:eastAsia="SassoonPrimaryInfant" w:hAnsi="SassoonPrimaryInfant"/>
          <w:sz w:val="48"/>
          <w:szCs w:val="48"/>
          <w:rtl w:val="0"/>
        </w:rPr>
        <w:t xml:space="preserve">Maths Long term plan EYFS 2024-25</w:t>
      </w:r>
    </w:p>
    <w:p w:rsidR="00000000" w:rsidDel="00000000" w:rsidP="00000000" w:rsidRDefault="00000000" w:rsidRPr="00000000" w14:paraId="00000002">
      <w:pPr>
        <w:jc w:val="center"/>
        <w:rPr>
          <w:rFonts w:ascii="SassoonPrimaryInfant" w:cs="SassoonPrimaryInfant" w:eastAsia="SassoonPrimaryInfant" w:hAnsi="SassoonPrimaryInfant"/>
          <w:sz w:val="48"/>
          <w:szCs w:val="48"/>
        </w:rPr>
      </w:pPr>
      <w:r w:rsidDel="00000000" w:rsidR="00000000" w:rsidRPr="00000000">
        <w:rPr>
          <w:rFonts w:ascii="SassoonPrimaryInfant" w:cs="SassoonPrimaryInfant" w:eastAsia="SassoonPrimaryInfant" w:hAnsi="SassoonPrimaryInfant"/>
          <w:sz w:val="48"/>
          <w:szCs w:val="48"/>
          <w:rtl w:val="0"/>
        </w:rPr>
        <w:t xml:space="preserve">Mathematics Educational Programme </w:t>
      </w:r>
    </w:p>
    <w:p w:rsidR="00000000" w:rsidDel="00000000" w:rsidP="00000000" w:rsidRDefault="00000000" w:rsidRPr="00000000" w14:paraId="00000003">
      <w:pPr>
        <w:spacing w:after="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Developing a </w:t>
      </w:r>
      <w:r w:rsidDel="00000000" w:rsidR="00000000" w:rsidRPr="00000000">
        <w:rPr>
          <w:rFonts w:ascii="SassoonPrimaryInfant" w:cs="SassoonPrimaryInfant" w:eastAsia="SassoonPrimaryInfant" w:hAnsi="SassoonPrimaryInfant"/>
          <w:b w:val="1"/>
          <w:sz w:val="24"/>
          <w:szCs w:val="24"/>
          <w:rtl w:val="0"/>
        </w:rPr>
        <w:t xml:space="preserve">strong grounding in number </w:t>
      </w:r>
      <w:r w:rsidDel="00000000" w:rsidR="00000000" w:rsidRPr="00000000">
        <w:rPr>
          <w:rFonts w:ascii="SassoonPrimaryInfant" w:cs="SassoonPrimaryInfant" w:eastAsia="SassoonPrimaryInfant" w:hAnsi="SassoonPrimaryInfant"/>
          <w:sz w:val="24"/>
          <w:szCs w:val="24"/>
          <w:rtl w:val="0"/>
        </w:rPr>
        <w:t xml:space="preserve">is essential so that all children develop the necessary </w:t>
      </w:r>
      <w:r w:rsidDel="00000000" w:rsidR="00000000" w:rsidRPr="00000000">
        <w:rPr>
          <w:rFonts w:ascii="SassoonPrimaryInfant" w:cs="SassoonPrimaryInfant" w:eastAsia="SassoonPrimaryInfant" w:hAnsi="SassoonPrimaryInfant"/>
          <w:b w:val="1"/>
          <w:sz w:val="24"/>
          <w:szCs w:val="24"/>
          <w:rtl w:val="0"/>
        </w:rPr>
        <w:t xml:space="preserve">building blocks </w:t>
      </w:r>
      <w:r w:rsidDel="00000000" w:rsidR="00000000" w:rsidRPr="00000000">
        <w:rPr>
          <w:rFonts w:ascii="SassoonPrimaryInfant" w:cs="SassoonPrimaryInfant" w:eastAsia="SassoonPrimaryInfant" w:hAnsi="SassoonPrimaryInfant"/>
          <w:sz w:val="24"/>
          <w:szCs w:val="24"/>
          <w:rtl w:val="0"/>
        </w:rPr>
        <w:t xml:space="preserve">to excel mathematically. Children should be able to </w:t>
      </w:r>
      <w:r w:rsidDel="00000000" w:rsidR="00000000" w:rsidRPr="00000000">
        <w:rPr>
          <w:rFonts w:ascii="SassoonPrimaryInfant" w:cs="SassoonPrimaryInfant" w:eastAsia="SassoonPrimaryInfant" w:hAnsi="SassoonPrimaryInfant"/>
          <w:b w:val="1"/>
          <w:sz w:val="24"/>
          <w:szCs w:val="24"/>
          <w:rtl w:val="0"/>
        </w:rPr>
        <w:t xml:space="preserve">count confidently</w:t>
      </w:r>
      <w:r w:rsidDel="00000000" w:rsidR="00000000" w:rsidRPr="00000000">
        <w:rPr>
          <w:rFonts w:ascii="SassoonPrimaryInfant" w:cs="SassoonPrimaryInfant" w:eastAsia="SassoonPrimaryInfant" w:hAnsi="SassoonPrimaryInfant"/>
          <w:sz w:val="24"/>
          <w:szCs w:val="24"/>
          <w:rtl w:val="0"/>
        </w:rPr>
        <w:t xml:space="preserve">, develop a deep understanding of the </w:t>
      </w:r>
      <w:r w:rsidDel="00000000" w:rsidR="00000000" w:rsidRPr="00000000">
        <w:rPr>
          <w:rFonts w:ascii="SassoonPrimaryInfant" w:cs="SassoonPrimaryInfant" w:eastAsia="SassoonPrimaryInfant" w:hAnsi="SassoonPrimaryInfant"/>
          <w:b w:val="1"/>
          <w:sz w:val="24"/>
          <w:szCs w:val="24"/>
          <w:rtl w:val="0"/>
        </w:rPr>
        <w:t xml:space="preserve">numbers to 10</w:t>
      </w:r>
      <w:r w:rsidDel="00000000" w:rsidR="00000000" w:rsidRPr="00000000">
        <w:rPr>
          <w:rFonts w:ascii="SassoonPrimaryInfant" w:cs="SassoonPrimaryInfant" w:eastAsia="SassoonPrimaryInfant" w:hAnsi="SassoonPrimaryInfant"/>
          <w:sz w:val="24"/>
          <w:szCs w:val="24"/>
          <w:rtl w:val="0"/>
        </w:rPr>
        <w:t xml:space="preserve">, the </w:t>
      </w:r>
      <w:r w:rsidDel="00000000" w:rsidR="00000000" w:rsidRPr="00000000">
        <w:rPr>
          <w:rFonts w:ascii="SassoonPrimaryInfant" w:cs="SassoonPrimaryInfant" w:eastAsia="SassoonPrimaryInfant" w:hAnsi="SassoonPrimaryInfant"/>
          <w:b w:val="1"/>
          <w:sz w:val="24"/>
          <w:szCs w:val="24"/>
          <w:rtl w:val="0"/>
        </w:rPr>
        <w:t xml:space="preserve">relationships between </w:t>
      </w:r>
      <w:r w:rsidDel="00000000" w:rsidR="00000000" w:rsidRPr="00000000">
        <w:rPr>
          <w:rFonts w:ascii="SassoonPrimaryInfant" w:cs="SassoonPrimaryInfant" w:eastAsia="SassoonPrimaryInfant" w:hAnsi="SassoonPrimaryInfant"/>
          <w:sz w:val="24"/>
          <w:szCs w:val="24"/>
          <w:rtl w:val="0"/>
        </w:rPr>
        <w:t xml:space="preserve">them and the patterns within those numbers. By providing frequent and varied opportunities to build and apply this understanding - such as using </w:t>
      </w:r>
      <w:r w:rsidDel="00000000" w:rsidR="00000000" w:rsidRPr="00000000">
        <w:rPr>
          <w:rFonts w:ascii="SassoonPrimaryInfant" w:cs="SassoonPrimaryInfant" w:eastAsia="SassoonPrimaryInfant" w:hAnsi="SassoonPrimaryInfant"/>
          <w:b w:val="1"/>
          <w:sz w:val="24"/>
          <w:szCs w:val="24"/>
          <w:rtl w:val="0"/>
        </w:rPr>
        <w:t xml:space="preserve">manipulatives,</w:t>
      </w:r>
      <w:r w:rsidDel="00000000" w:rsidR="00000000" w:rsidRPr="00000000">
        <w:rPr>
          <w:rFonts w:ascii="SassoonPrimaryInfant" w:cs="SassoonPrimaryInfant" w:eastAsia="SassoonPrimaryInfant" w:hAnsi="SassoonPrimaryInfant"/>
          <w:sz w:val="24"/>
          <w:szCs w:val="24"/>
          <w:rtl w:val="0"/>
        </w:rPr>
        <w:t xml:space="preserve"> including small pebbles and tens frames for organising counting - children will develop a secure base of knowledge and vocabulary from which </w:t>
      </w:r>
      <w:r w:rsidDel="00000000" w:rsidR="00000000" w:rsidRPr="00000000">
        <w:rPr>
          <w:rFonts w:ascii="SassoonPrimaryInfant" w:cs="SassoonPrimaryInfant" w:eastAsia="SassoonPrimaryInfant" w:hAnsi="SassoonPrimaryInfant"/>
          <w:b w:val="1"/>
          <w:sz w:val="24"/>
          <w:szCs w:val="24"/>
          <w:rtl w:val="0"/>
        </w:rPr>
        <w:t xml:space="preserve">mastery of mathematics </w:t>
      </w:r>
      <w:r w:rsidDel="00000000" w:rsidR="00000000" w:rsidRPr="00000000">
        <w:rPr>
          <w:rFonts w:ascii="SassoonPrimaryInfant" w:cs="SassoonPrimaryInfant" w:eastAsia="SassoonPrimaryInfant" w:hAnsi="SassoonPrimaryInfant"/>
          <w:sz w:val="24"/>
          <w:szCs w:val="24"/>
          <w:rtl w:val="0"/>
        </w:rPr>
        <w:t xml:space="preserve">is built. In addition, it is important that the curriculum includes </w:t>
      </w:r>
      <w:r w:rsidDel="00000000" w:rsidR="00000000" w:rsidRPr="00000000">
        <w:rPr>
          <w:rFonts w:ascii="SassoonPrimaryInfant" w:cs="SassoonPrimaryInfant" w:eastAsia="SassoonPrimaryInfant" w:hAnsi="SassoonPrimaryInfant"/>
          <w:b w:val="1"/>
          <w:sz w:val="24"/>
          <w:szCs w:val="24"/>
          <w:rtl w:val="0"/>
        </w:rPr>
        <w:t xml:space="preserve">rich opportunities for children to develop their spatial reasoning </w:t>
      </w:r>
      <w:r w:rsidDel="00000000" w:rsidR="00000000" w:rsidRPr="00000000">
        <w:rPr>
          <w:rFonts w:ascii="SassoonPrimaryInfant" w:cs="SassoonPrimaryInfant" w:eastAsia="SassoonPrimaryInfant" w:hAnsi="SassoonPrimaryInfant"/>
          <w:sz w:val="24"/>
          <w:szCs w:val="24"/>
          <w:rtl w:val="0"/>
        </w:rPr>
        <w:t xml:space="preserve">skills across all areas of mathematics including shape, space and measures. It is important that children </w:t>
      </w:r>
      <w:r w:rsidDel="00000000" w:rsidR="00000000" w:rsidRPr="00000000">
        <w:rPr>
          <w:rFonts w:ascii="SassoonPrimaryInfant" w:cs="SassoonPrimaryInfant" w:eastAsia="SassoonPrimaryInfant" w:hAnsi="SassoonPrimaryInfant"/>
          <w:b w:val="1"/>
          <w:sz w:val="24"/>
          <w:szCs w:val="24"/>
          <w:rtl w:val="0"/>
        </w:rPr>
        <w:t xml:space="preserve">develop positive attitudes and interests in mathematics</w:t>
      </w:r>
      <w:r w:rsidDel="00000000" w:rsidR="00000000" w:rsidRPr="00000000">
        <w:rPr>
          <w:rFonts w:ascii="SassoonPrimaryInfant" w:cs="SassoonPrimaryInfant" w:eastAsia="SassoonPrimaryInfant" w:hAnsi="SassoonPrimaryInfant"/>
          <w:sz w:val="24"/>
          <w:szCs w:val="24"/>
          <w:rtl w:val="0"/>
        </w:rPr>
        <w:t xml:space="preserve">, look for </w:t>
      </w:r>
      <w:r w:rsidDel="00000000" w:rsidR="00000000" w:rsidRPr="00000000">
        <w:rPr>
          <w:rFonts w:ascii="SassoonPrimaryInfant" w:cs="SassoonPrimaryInfant" w:eastAsia="SassoonPrimaryInfant" w:hAnsi="SassoonPrimaryInfant"/>
          <w:b w:val="1"/>
          <w:sz w:val="24"/>
          <w:szCs w:val="24"/>
          <w:rtl w:val="0"/>
        </w:rPr>
        <w:t xml:space="preserve">patterns and relationships</w:t>
      </w:r>
      <w:r w:rsidDel="00000000" w:rsidR="00000000" w:rsidRPr="00000000">
        <w:rPr>
          <w:rFonts w:ascii="SassoonPrimaryInfant" w:cs="SassoonPrimaryInfant" w:eastAsia="SassoonPrimaryInfant" w:hAnsi="SassoonPrimaryInfant"/>
          <w:sz w:val="24"/>
          <w:szCs w:val="24"/>
          <w:rtl w:val="0"/>
        </w:rPr>
        <w:t xml:space="preserve">, spot </w:t>
      </w:r>
      <w:r w:rsidDel="00000000" w:rsidR="00000000" w:rsidRPr="00000000">
        <w:rPr>
          <w:rFonts w:ascii="SassoonPrimaryInfant" w:cs="SassoonPrimaryInfant" w:eastAsia="SassoonPrimaryInfant" w:hAnsi="SassoonPrimaryInfant"/>
          <w:b w:val="1"/>
          <w:sz w:val="24"/>
          <w:szCs w:val="24"/>
          <w:rtl w:val="0"/>
        </w:rPr>
        <w:t xml:space="preserve">connections, ‘have a go’</w:t>
      </w:r>
      <w:r w:rsidDel="00000000" w:rsidR="00000000" w:rsidRPr="00000000">
        <w:rPr>
          <w:rFonts w:ascii="SassoonPrimaryInfant" w:cs="SassoonPrimaryInfant" w:eastAsia="SassoonPrimaryInfant" w:hAnsi="SassoonPrimaryInfant"/>
          <w:sz w:val="24"/>
          <w:szCs w:val="24"/>
          <w:rtl w:val="0"/>
        </w:rPr>
        <w:t xml:space="preserve">, </w:t>
      </w:r>
      <w:r w:rsidDel="00000000" w:rsidR="00000000" w:rsidRPr="00000000">
        <w:rPr>
          <w:rFonts w:ascii="SassoonPrimaryInfant" w:cs="SassoonPrimaryInfant" w:eastAsia="SassoonPrimaryInfant" w:hAnsi="SassoonPrimaryInfant"/>
          <w:b w:val="1"/>
          <w:sz w:val="24"/>
          <w:szCs w:val="24"/>
          <w:rtl w:val="0"/>
        </w:rPr>
        <w:t xml:space="preserve">talk to adults </w:t>
      </w:r>
      <w:r w:rsidDel="00000000" w:rsidR="00000000" w:rsidRPr="00000000">
        <w:rPr>
          <w:rFonts w:ascii="SassoonPrimaryInfant" w:cs="SassoonPrimaryInfant" w:eastAsia="SassoonPrimaryInfant" w:hAnsi="SassoonPrimaryInfant"/>
          <w:sz w:val="24"/>
          <w:szCs w:val="24"/>
          <w:rtl w:val="0"/>
        </w:rPr>
        <w:t xml:space="preserve">and peers about what they notice and not be afraid to make mistakes.</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Our weekly teaching is supported by the early years NCTEM framework using the six key areas of early mathematics learning:</w:t>
      </w:r>
    </w:p>
    <w:p w:rsidR="00000000" w:rsidDel="00000000" w:rsidP="00000000" w:rsidRDefault="00000000" w:rsidRPr="00000000" w14:paraId="00000006">
      <w:pPr>
        <w:spacing w:after="0" w:line="240" w:lineRule="auto"/>
        <w:rPr>
          <w:rFonts w:ascii="SassoonPrimaryInfant" w:cs="SassoonPrimaryInfant" w:eastAsia="SassoonPrimaryInfant" w:hAnsi="SassoonPrimaryInfant"/>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6"/>
          <w:szCs w:val="3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Cardinality and Counting: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Understanding that the cardinal value of a number refers to the quantity, or ‘howmanyness’ of things it represents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6"/>
          <w:szCs w:val="3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Comparison:</w:t>
      </w:r>
      <w:r w:rsidDel="00000000" w:rsidR="00000000" w:rsidRPr="00000000">
        <w:rPr>
          <w:rFonts w:ascii="Arial" w:cs="Arial" w:eastAsia="Arial" w:hAnsi="Arial"/>
          <w:b w:val="0"/>
          <w:i w:val="0"/>
          <w:smallCaps w:val="0"/>
          <w:strike w:val="0"/>
          <w:color w:val="585858"/>
          <w:sz w:val="21"/>
          <w:szCs w:val="21"/>
          <w:highlight w:val="white"/>
          <w:u w:val="none"/>
          <w:vertAlign w:val="baseline"/>
          <w:rtl w:val="0"/>
        </w:rPr>
        <w:t xml:space="preserve">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Understanding that comparing numbers involves knowing which numbers are worth more or less than each other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6"/>
          <w:szCs w:val="3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Composition:</w:t>
      </w:r>
      <w:r w:rsidDel="00000000" w:rsidR="00000000" w:rsidRPr="00000000">
        <w:rPr>
          <w:rFonts w:ascii="Arial" w:cs="Arial" w:eastAsia="Arial" w:hAnsi="Arial"/>
          <w:b w:val="0"/>
          <w:i w:val="0"/>
          <w:smallCaps w:val="0"/>
          <w:strike w:val="0"/>
          <w:color w:val="585858"/>
          <w:sz w:val="21"/>
          <w:szCs w:val="21"/>
          <w:highlight w:val="white"/>
          <w:u w:val="none"/>
          <w:vertAlign w:val="baseline"/>
          <w:rtl w:val="0"/>
        </w:rPr>
        <w:t xml:space="preserve">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Understanding that one number can be made up from (composed from) two or more smaller numbers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6"/>
          <w:szCs w:val="3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Pattern: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Looking for and finding patterns helps children notice and understand mathematical relationships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6"/>
          <w:szCs w:val="3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Shape and Space:</w:t>
      </w:r>
      <w:r w:rsidDel="00000000" w:rsidR="00000000" w:rsidRPr="00000000">
        <w:rPr>
          <w:rFonts w:ascii="Arial" w:cs="Arial" w:eastAsia="Arial" w:hAnsi="Arial"/>
          <w:b w:val="0"/>
          <w:i w:val="0"/>
          <w:smallCaps w:val="0"/>
          <w:strike w:val="0"/>
          <w:color w:val="585858"/>
          <w:sz w:val="21"/>
          <w:szCs w:val="21"/>
          <w:highlight w:val="white"/>
          <w:u w:val="none"/>
          <w:vertAlign w:val="baseline"/>
          <w:rtl w:val="0"/>
        </w:rPr>
        <w:t xml:space="preserve">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Understanding what happens when shapes move, or combine with other shapes, helps develop wider mathematical thinking</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6"/>
          <w:szCs w:val="36"/>
          <w:u w:val="none"/>
          <w:shd w:fill="auto" w:val="clear"/>
          <w:vertAlign w:val="baseline"/>
          <w:rtl w:val="0"/>
        </w:rPr>
        <w:t xml:space="preserve">Measures: </w:t>
      </w:r>
      <w:r w:rsidDel="00000000" w:rsidR="00000000" w:rsidRPr="00000000">
        <w:rPr>
          <w:rFonts w:ascii="SassoonPrimaryInfant" w:cs="SassoonPrimaryInfant" w:eastAsia="SassoonPrimaryInfant" w:hAnsi="SassoonPrimaryInfant"/>
          <w:b w:val="0"/>
          <w:i w:val="0"/>
          <w:smallCaps w:val="0"/>
          <w:strike w:val="0"/>
          <w:color w:val="585858"/>
          <w:sz w:val="32"/>
          <w:szCs w:val="32"/>
          <w:highlight w:val="white"/>
          <w:u w:val="none"/>
          <w:vertAlign w:val="baseline"/>
          <w:rtl w:val="0"/>
        </w:rPr>
        <w:t xml:space="preserve">Comparing different aspects such as length, weight and volume, as a preliminary to using units to compare later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Links for NCTEM progression maps for each area of learning.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SassoonPrimaryInfant" w:cs="SassoonPrimaryInfant" w:eastAsia="SassoonPrimaryInfant" w:hAnsi="SassoonPrimaryInfant"/>
          <w:b w:val="0"/>
          <w:i w:val="0"/>
          <w:smallCaps w:val="0"/>
          <w:strike w:val="0"/>
          <w:color w:val="585858"/>
          <w:sz w:val="24"/>
          <w:szCs w:val="24"/>
          <w:u w:val="none"/>
          <w:shd w:fill="auto" w:val="clear"/>
          <w:vertAlign w:val="baseline"/>
        </w:rPr>
      </w:pPr>
      <w:hyperlink r:id="rId7">
        <w:r w:rsidDel="00000000" w:rsidR="00000000" w:rsidRPr="00000000">
          <w:rPr>
            <w:rFonts w:ascii="SassoonPrimaryInfant" w:cs="SassoonPrimaryInfant" w:eastAsia="SassoonPrimaryInfant" w:hAnsi="SassoonPrimaryInfant"/>
            <w:b w:val="0"/>
            <w:i w:val="0"/>
            <w:smallCaps w:val="0"/>
            <w:strike w:val="0"/>
            <w:color w:val="0563c1"/>
            <w:sz w:val="24"/>
            <w:szCs w:val="24"/>
            <w:u w:val="single"/>
            <w:shd w:fill="auto" w:val="clear"/>
            <w:vertAlign w:val="baseline"/>
            <w:rtl w:val="0"/>
          </w:rPr>
          <w:t xml:space="preserve">https://www.ncetm.org.uk/media/zpujdwv4/typical-progression-cardinality-and-counting.pdf</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SassoonPrimaryInfant" w:cs="SassoonPrimaryInfant" w:eastAsia="SassoonPrimaryInfant" w:hAnsi="SassoonPrimaryInfant"/>
          <w:b w:val="0"/>
          <w:i w:val="0"/>
          <w:smallCaps w:val="0"/>
          <w:strike w:val="0"/>
          <w:color w:val="585858"/>
          <w:sz w:val="24"/>
          <w:szCs w:val="24"/>
          <w:u w:val="none"/>
          <w:shd w:fill="auto" w:val="clear"/>
          <w:vertAlign w:val="baseline"/>
        </w:rPr>
      </w:pPr>
      <w:hyperlink r:id="rId8">
        <w:r w:rsidDel="00000000" w:rsidR="00000000" w:rsidRPr="00000000">
          <w:rPr>
            <w:rFonts w:ascii="SassoonPrimaryInfant" w:cs="SassoonPrimaryInfant" w:eastAsia="SassoonPrimaryInfant" w:hAnsi="SassoonPrimaryInfant"/>
            <w:b w:val="0"/>
            <w:i w:val="0"/>
            <w:smallCaps w:val="0"/>
            <w:strike w:val="0"/>
            <w:color w:val="0563c1"/>
            <w:sz w:val="24"/>
            <w:szCs w:val="24"/>
            <w:u w:val="single"/>
            <w:shd w:fill="auto" w:val="clear"/>
            <w:vertAlign w:val="baseline"/>
            <w:rtl w:val="0"/>
          </w:rPr>
          <w:t xml:space="preserve">https://www.ncetm.org.uk/media/wvqgcfqm/typical-progression-comparison.pdf</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SassoonPrimaryInfant" w:cs="SassoonPrimaryInfant" w:eastAsia="SassoonPrimaryInfant" w:hAnsi="SassoonPrimaryInfant"/>
          <w:b w:val="0"/>
          <w:i w:val="0"/>
          <w:smallCaps w:val="0"/>
          <w:strike w:val="0"/>
          <w:color w:val="585858"/>
          <w:sz w:val="24"/>
          <w:szCs w:val="24"/>
          <w:u w:val="none"/>
          <w:shd w:fill="auto" w:val="clear"/>
          <w:vertAlign w:val="baseline"/>
        </w:rPr>
      </w:pPr>
      <w:hyperlink r:id="rId9">
        <w:r w:rsidDel="00000000" w:rsidR="00000000" w:rsidRPr="00000000">
          <w:rPr>
            <w:rFonts w:ascii="SassoonPrimaryInfant" w:cs="SassoonPrimaryInfant" w:eastAsia="SassoonPrimaryInfant" w:hAnsi="SassoonPrimaryInfant"/>
            <w:b w:val="0"/>
            <w:i w:val="0"/>
            <w:smallCaps w:val="0"/>
            <w:strike w:val="0"/>
            <w:color w:val="0563c1"/>
            <w:sz w:val="24"/>
            <w:szCs w:val="24"/>
            <w:u w:val="single"/>
            <w:shd w:fill="auto" w:val="clear"/>
            <w:vertAlign w:val="baseline"/>
            <w:rtl w:val="0"/>
          </w:rPr>
          <w:t xml:space="preserve">https://www.ncetm.org.uk/media/a5cetjqq/typical-progression-composition.pdf</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rFonts w:ascii="SassoonPrimaryInfant" w:cs="SassoonPrimaryInfant" w:eastAsia="SassoonPrimaryInfant" w:hAnsi="SassoonPrimaryInfant"/>
          <w:b w:val="0"/>
          <w:i w:val="0"/>
          <w:smallCaps w:val="0"/>
          <w:strike w:val="0"/>
          <w:color w:val="585858"/>
          <w:sz w:val="24"/>
          <w:szCs w:val="24"/>
          <w:u w:val="none"/>
          <w:shd w:fill="auto" w:val="clear"/>
          <w:vertAlign w:val="baseline"/>
        </w:rPr>
      </w:pPr>
      <w:hyperlink r:id="rId10">
        <w:r w:rsidDel="00000000" w:rsidR="00000000" w:rsidRPr="00000000">
          <w:rPr>
            <w:rFonts w:ascii="SassoonPrimaryInfant" w:cs="SassoonPrimaryInfant" w:eastAsia="SassoonPrimaryInfant" w:hAnsi="SassoonPrimaryInfant"/>
            <w:b w:val="0"/>
            <w:i w:val="0"/>
            <w:smallCaps w:val="0"/>
            <w:strike w:val="0"/>
            <w:color w:val="0563c1"/>
            <w:sz w:val="24"/>
            <w:szCs w:val="24"/>
            <w:u w:val="single"/>
            <w:shd w:fill="auto" w:val="clear"/>
            <w:vertAlign w:val="baseline"/>
            <w:rtl w:val="0"/>
          </w:rPr>
          <w:t xml:space="preserve">https://www.ncetm.org.uk/media/5csbtyon/typical-progression-pattern.pdf</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SassoonPrimaryInfant" w:cs="SassoonPrimaryInfant" w:eastAsia="SassoonPrimaryInfant" w:hAnsi="SassoonPrimaryInfant"/>
          <w:b w:val="0"/>
          <w:i w:val="0"/>
          <w:smallCaps w:val="0"/>
          <w:strike w:val="0"/>
          <w:color w:val="000000"/>
          <w:sz w:val="25"/>
          <w:szCs w:val="25"/>
          <w:highlight w:val="white"/>
          <w:u w:val="none"/>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We also use numberblocks to supplement our teaching </w:t>
      </w:r>
      <w:r w:rsidDel="00000000" w:rsidR="00000000" w:rsidRPr="00000000">
        <w:rPr>
          <w:rFonts w:ascii="SassoonPrimaryInfant" w:cs="SassoonPrimaryInfant" w:eastAsia="SassoonPrimaryInfant" w:hAnsi="SassoonPrimaryInfant"/>
          <w:b w:val="0"/>
          <w:i w:val="0"/>
          <w:smallCaps w:val="0"/>
          <w:strike w:val="0"/>
          <w:color w:val="000000"/>
          <w:sz w:val="25"/>
          <w:szCs w:val="25"/>
          <w:highlight w:val="white"/>
          <w:u w:val="none"/>
          <w:vertAlign w:val="baseline"/>
          <w:rtl w:val="0"/>
        </w:rPr>
        <w:t xml:space="preserve">The NCETM materials use each episode as a launch pad. They are designed to assist Early Years practitioners to confidently move on from an episode, helping children to bring the numbers and ideas to life in the world around them.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SassoonPrimaryInfant" w:cs="SassoonPrimaryInfant" w:eastAsia="SassoonPrimaryInfant" w:hAnsi="SassoonPrimaryInfant"/>
          <w:b w:val="0"/>
          <w:i w:val="0"/>
          <w:smallCaps w:val="0"/>
          <w:strike w:val="0"/>
          <w:color w:val="000000"/>
          <w:sz w:val="32"/>
          <w:szCs w:val="32"/>
          <w:highlight w:val="white"/>
          <w:u w:val="none"/>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32"/>
          <w:szCs w:val="32"/>
          <w:highlight w:val="white"/>
          <w:u w:val="none"/>
          <w:vertAlign w:val="baseline"/>
          <w:rtl w:val="0"/>
        </w:rPr>
        <w:t xml:space="preserve">St Bridget’s children in F2 have daily maths carpet sessions planned from the above, they also have an additional daily teaching session following the NCTEM mastering number programme. This programme supports pupils in developing a good number sense: strengthening the understanding of number and fluency with number facts.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SassoonPrimaryInfant" w:cs="SassoonPrimaryInfant" w:eastAsia="SassoonPrimaryInfant" w:hAnsi="SassoonPrimaryInfant"/>
          <w:b w:val="0"/>
          <w:i w:val="0"/>
          <w:smallCaps w:val="0"/>
          <w:strike w:val="0"/>
          <w:color w:val="000000"/>
          <w:sz w:val="32"/>
          <w:szCs w:val="32"/>
          <w:highlight w:val="white"/>
          <w:u w:val="none"/>
          <w:vertAlign w:val="baseline"/>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917"/>
        <w:tblGridChange w:id="0">
          <w:tblGrid>
            <w:gridCol w:w="3539"/>
            <w:gridCol w:w="6917"/>
          </w:tblGrid>
        </w:tblGridChange>
      </w:tblGrid>
      <w:tr>
        <w:trPr>
          <w:cantSplit w:val="0"/>
          <w:tblHeader w:val="0"/>
        </w:trPr>
        <w:tc>
          <w:tcPr/>
          <w:p w:rsidR="00000000" w:rsidDel="00000000" w:rsidP="00000000" w:rsidRDefault="00000000" w:rsidRPr="00000000" w14:paraId="00000016">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Autumn 1</w:t>
            </w:r>
          </w:p>
        </w:tc>
        <w:tc>
          <w:tcPr/>
          <w:p w:rsidR="00000000" w:rsidDel="00000000" w:rsidP="00000000" w:rsidRDefault="00000000" w:rsidRPr="00000000" w14:paraId="00000017">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Baseline </w:t>
            </w:r>
          </w:p>
          <w:p w:rsidR="00000000" w:rsidDel="00000000" w:rsidP="00000000" w:rsidRDefault="00000000" w:rsidRPr="00000000" w14:paraId="00000018">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Understanding numbers 1- 4</w:t>
            </w:r>
          </w:p>
        </w:tc>
      </w:tr>
      <w:tr>
        <w:trPr>
          <w:cantSplit w:val="0"/>
          <w:tblHeader w:val="0"/>
        </w:trPr>
        <w:tc>
          <w:tcPr/>
          <w:p w:rsidR="00000000" w:rsidDel="00000000" w:rsidP="00000000" w:rsidRDefault="00000000" w:rsidRPr="00000000" w14:paraId="00000019">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Autumn 2</w:t>
            </w:r>
          </w:p>
        </w:tc>
        <w:tc>
          <w:tcPr/>
          <w:p w:rsidR="00000000" w:rsidDel="00000000" w:rsidP="00000000" w:rsidRDefault="00000000" w:rsidRPr="00000000" w14:paraId="0000001A">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Understanding numbers </w:t>
            </w:r>
          </w:p>
          <w:p w:rsidR="00000000" w:rsidDel="00000000" w:rsidP="00000000" w:rsidRDefault="00000000" w:rsidRPr="00000000" w14:paraId="0000001B">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5 – 7 and 0</w:t>
            </w:r>
          </w:p>
        </w:tc>
      </w:tr>
      <w:tr>
        <w:trPr>
          <w:cantSplit w:val="0"/>
          <w:tblHeader w:val="0"/>
        </w:trPr>
        <w:tc>
          <w:tcPr/>
          <w:p w:rsidR="00000000" w:rsidDel="00000000" w:rsidP="00000000" w:rsidRDefault="00000000" w:rsidRPr="00000000" w14:paraId="0000001C">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Spring 1</w:t>
            </w:r>
          </w:p>
        </w:tc>
        <w:tc>
          <w:tcPr/>
          <w:p w:rsidR="00000000" w:rsidDel="00000000" w:rsidP="00000000" w:rsidRDefault="00000000" w:rsidRPr="00000000" w14:paraId="0000001D">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Understanding numbers </w:t>
            </w:r>
          </w:p>
          <w:p w:rsidR="00000000" w:rsidDel="00000000" w:rsidP="00000000" w:rsidRDefault="00000000" w:rsidRPr="00000000" w14:paraId="0000001E">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8-10</w:t>
            </w:r>
          </w:p>
        </w:tc>
      </w:tr>
      <w:tr>
        <w:trPr>
          <w:cantSplit w:val="0"/>
          <w:tblHeader w:val="0"/>
        </w:trPr>
        <w:tc>
          <w:tcPr/>
          <w:p w:rsidR="00000000" w:rsidDel="00000000" w:rsidP="00000000" w:rsidRDefault="00000000" w:rsidRPr="00000000" w14:paraId="0000001F">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Spring 2</w:t>
            </w:r>
          </w:p>
        </w:tc>
        <w:tc>
          <w:tcPr/>
          <w:p w:rsidR="00000000" w:rsidDel="00000000" w:rsidP="00000000" w:rsidRDefault="00000000" w:rsidRPr="00000000" w14:paraId="00000020">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Exploring teen numbers (11-12)</w:t>
            </w:r>
          </w:p>
          <w:p w:rsidR="00000000" w:rsidDel="00000000" w:rsidP="00000000" w:rsidRDefault="00000000" w:rsidRPr="00000000" w14:paraId="00000021">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Revisiting and consolidation of </w:t>
            </w:r>
          </w:p>
          <w:p w:rsidR="00000000" w:rsidDel="00000000" w:rsidP="00000000" w:rsidRDefault="00000000" w:rsidRPr="00000000" w14:paraId="00000022">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1-10 for mastery </w:t>
            </w:r>
          </w:p>
        </w:tc>
      </w:tr>
      <w:tr>
        <w:trPr>
          <w:cantSplit w:val="0"/>
          <w:tblHeader w:val="0"/>
        </w:trPr>
        <w:tc>
          <w:tcPr/>
          <w:p w:rsidR="00000000" w:rsidDel="00000000" w:rsidP="00000000" w:rsidRDefault="00000000" w:rsidRPr="00000000" w14:paraId="00000023">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Summer 1</w:t>
            </w:r>
          </w:p>
        </w:tc>
        <w:tc>
          <w:tcPr/>
          <w:p w:rsidR="00000000" w:rsidDel="00000000" w:rsidP="00000000" w:rsidRDefault="00000000" w:rsidRPr="00000000" w14:paraId="00000024">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Exploring teen numbers (13-16)</w:t>
            </w:r>
          </w:p>
          <w:p w:rsidR="00000000" w:rsidDel="00000000" w:rsidP="00000000" w:rsidRDefault="00000000" w:rsidRPr="00000000" w14:paraId="00000025">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Revisiting and consolidation of </w:t>
            </w:r>
          </w:p>
          <w:p w:rsidR="00000000" w:rsidDel="00000000" w:rsidP="00000000" w:rsidRDefault="00000000" w:rsidRPr="00000000" w14:paraId="00000026">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1-10 for mastery</w:t>
            </w:r>
          </w:p>
        </w:tc>
      </w:tr>
      <w:tr>
        <w:trPr>
          <w:cantSplit w:val="0"/>
          <w:tblHeader w:val="0"/>
        </w:trPr>
        <w:tc>
          <w:tcPr/>
          <w:p w:rsidR="00000000" w:rsidDel="00000000" w:rsidP="00000000" w:rsidRDefault="00000000" w:rsidRPr="00000000" w14:paraId="00000027">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Summer 2 </w:t>
            </w:r>
          </w:p>
        </w:tc>
        <w:tc>
          <w:tcPr/>
          <w:p w:rsidR="00000000" w:rsidDel="00000000" w:rsidP="00000000" w:rsidRDefault="00000000" w:rsidRPr="00000000" w14:paraId="00000028">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Exploring teen numbers (17-20)</w:t>
            </w:r>
          </w:p>
          <w:p w:rsidR="00000000" w:rsidDel="00000000" w:rsidP="00000000" w:rsidRDefault="00000000" w:rsidRPr="00000000" w14:paraId="00000029">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Revisiting and consolidation of </w:t>
            </w:r>
          </w:p>
          <w:p w:rsidR="00000000" w:rsidDel="00000000" w:rsidP="00000000" w:rsidRDefault="00000000" w:rsidRPr="00000000" w14:paraId="0000002A">
            <w:pPr>
              <w:jc w:val="center"/>
              <w:rPr>
                <w:rFonts w:ascii="SassoonPrimaryInfant" w:cs="SassoonPrimaryInfant" w:eastAsia="SassoonPrimaryInfant" w:hAnsi="SassoonPrimaryInfant"/>
                <w:sz w:val="36"/>
                <w:szCs w:val="36"/>
              </w:rPr>
            </w:pPr>
            <w:r w:rsidDel="00000000" w:rsidR="00000000" w:rsidRPr="00000000">
              <w:rPr>
                <w:rFonts w:ascii="SassoonPrimaryInfant" w:cs="SassoonPrimaryInfant" w:eastAsia="SassoonPrimaryInfant" w:hAnsi="SassoonPrimaryInfant"/>
                <w:sz w:val="36"/>
                <w:szCs w:val="36"/>
                <w:rtl w:val="0"/>
              </w:rPr>
              <w:t xml:space="preserve">1-10 for mastery</w:t>
            </w:r>
          </w:p>
        </w:tc>
      </w:tr>
    </w:tbl>
    <w:p w:rsidR="00000000" w:rsidDel="00000000" w:rsidP="00000000" w:rsidRDefault="00000000" w:rsidRPr="00000000" w14:paraId="0000002B">
      <w:pPr>
        <w:tabs>
          <w:tab w:val="left" w:leader="none" w:pos="12350"/>
        </w:tabs>
        <w:rPr>
          <w:rFonts w:ascii="SassoonPrimaryInfant" w:cs="SassoonPrimaryInfant" w:eastAsia="SassoonPrimaryInfant" w:hAnsi="SassoonPrimaryInfant"/>
          <w:b w:val="1"/>
          <w:sz w:val="24"/>
          <w:szCs w:val="24"/>
        </w:rPr>
      </w:pPr>
      <w:r w:rsidDel="00000000" w:rsidR="00000000" w:rsidRPr="00000000">
        <w:rPr>
          <w:rtl w:val="0"/>
        </w:rPr>
      </w:r>
    </w:p>
    <w:p w:rsidR="00000000" w:rsidDel="00000000" w:rsidP="00000000" w:rsidRDefault="00000000" w:rsidRPr="00000000" w14:paraId="0000002C">
      <w:pPr>
        <w:tabs>
          <w:tab w:val="left" w:leader="none" w:pos="12350"/>
        </w:tabs>
        <w:rPr>
          <w:rFonts w:ascii="SassoonPrimaryInfant" w:cs="SassoonPrimaryInfant" w:eastAsia="SassoonPrimaryInfant" w:hAnsi="SassoonPrimaryInfant"/>
          <w:b w:val="1"/>
          <w:sz w:val="24"/>
          <w:szCs w:val="24"/>
        </w:rPr>
      </w:pPr>
      <w:r w:rsidDel="00000000" w:rsidR="00000000" w:rsidRPr="00000000">
        <w:rPr>
          <w:rFonts w:ascii="SassoonPrimaryInfant" w:cs="SassoonPrimaryInfant" w:eastAsia="SassoonPrimaryInfant" w:hAnsi="SassoonPrimaryInfant"/>
          <w:b w:val="1"/>
          <w:sz w:val="24"/>
          <w:szCs w:val="24"/>
          <w:rtl w:val="0"/>
        </w:rPr>
        <w:t xml:space="preserve">Early Learning Goals: </w:t>
      </w:r>
    </w:p>
    <w:p w:rsidR="00000000" w:rsidDel="00000000" w:rsidP="00000000" w:rsidRDefault="00000000" w:rsidRPr="00000000" w14:paraId="0000002D">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b w:val="1"/>
          <w:sz w:val="24"/>
          <w:szCs w:val="24"/>
          <w:rtl w:val="0"/>
        </w:rPr>
        <w:t xml:space="preserve">Number </w:t>
      </w:r>
      <w:r w:rsidDel="00000000" w:rsidR="00000000" w:rsidRPr="00000000">
        <w:rPr>
          <w:rtl w:val="0"/>
        </w:rPr>
      </w:r>
    </w:p>
    <w:p w:rsidR="00000000" w:rsidDel="00000000" w:rsidP="00000000" w:rsidRDefault="00000000" w:rsidRPr="00000000" w14:paraId="0000002E">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Have a deep understanding of number to 10, including the composition of each number; </w:t>
      </w:r>
    </w:p>
    <w:p w:rsidR="00000000" w:rsidDel="00000000" w:rsidP="00000000" w:rsidRDefault="00000000" w:rsidRPr="00000000" w14:paraId="0000002F">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Subitise (recognise quantities without counting) up to 5; - Automatically recall (without reference to rhymes, counting or other aids) number bonds up to 5 (including subtraction facts) and some number bonds to 10, including double facts. </w:t>
      </w:r>
    </w:p>
    <w:p w:rsidR="00000000" w:rsidDel="00000000" w:rsidP="00000000" w:rsidRDefault="00000000" w:rsidRPr="00000000" w14:paraId="00000030">
      <w:pPr>
        <w:tabs>
          <w:tab w:val="left" w:leader="none" w:pos="12350"/>
        </w:tabs>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1">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b w:val="1"/>
          <w:sz w:val="24"/>
          <w:szCs w:val="24"/>
          <w:rtl w:val="0"/>
        </w:rPr>
        <w:t xml:space="preserve">Numerical Patterns </w:t>
      </w:r>
      <w:r w:rsidDel="00000000" w:rsidR="00000000" w:rsidRPr="00000000">
        <w:rPr>
          <w:rtl w:val="0"/>
        </w:rPr>
      </w:r>
    </w:p>
    <w:p w:rsidR="00000000" w:rsidDel="00000000" w:rsidP="00000000" w:rsidRDefault="00000000" w:rsidRPr="00000000" w14:paraId="00000032">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Verbally count beyond 20, recognising the pattern of the counting system; - Compare quantities up to 10 in different contexts, recognising when one quantity is greater than, less than or the same as the other quantity. </w:t>
      </w:r>
    </w:p>
    <w:p w:rsidR="00000000" w:rsidDel="00000000" w:rsidP="00000000" w:rsidRDefault="00000000" w:rsidRPr="00000000" w14:paraId="00000033">
      <w:pPr>
        <w:tabs>
          <w:tab w:val="left" w:leader="none" w:pos="12350"/>
        </w:tabs>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 Explore and represent patterns within numbers up to 10, including evens and odds, double facts and how quantities can be distributed equally.</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E728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E2FD6"/>
    <w:pPr>
      <w:ind w:left="720"/>
      <w:contextualSpacing w:val="1"/>
    </w:pPr>
  </w:style>
  <w:style w:type="paragraph" w:styleId="NormalWeb">
    <w:name w:val="Normal (Web)"/>
    <w:basedOn w:val="Normal"/>
    <w:uiPriority w:val="99"/>
    <w:unhideWhenUsed w:val="1"/>
    <w:rsid w:val="004603B2"/>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nhideWhenUsed w:val="1"/>
    <w:rsid w:val="004603B2"/>
    <w:rPr>
      <w:color w:val="0563c1" w:themeColor="hyperlink"/>
      <w:u w:val="single"/>
    </w:rPr>
  </w:style>
  <w:style w:type="character" w:styleId="FollowedHyperlink">
    <w:name w:val="FollowedHyperlink"/>
    <w:basedOn w:val="DefaultParagraphFont"/>
    <w:uiPriority w:val="99"/>
    <w:semiHidden w:val="1"/>
    <w:unhideWhenUsed w:val="1"/>
    <w:rsid w:val="004603B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cetm.org.uk/media/5csbtyon/typical-progression-pattern.pdf" TargetMode="External"/><Relationship Id="rId9" Type="http://schemas.openxmlformats.org/officeDocument/2006/relationships/hyperlink" Target="https://www.ncetm.org.uk/media/a5cetjqq/typical-progression-compositio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etm.org.uk/media/zpujdwv4/typical-progression-cardinality-and-counting.pdf" TargetMode="External"/><Relationship Id="rId8" Type="http://schemas.openxmlformats.org/officeDocument/2006/relationships/hyperlink" Target="https://www.ncetm.org.uk/media/wvqgcfqm/typical-progression-comparis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WE0w4V33PD3UttwoNoRwL0W5g==">CgMxLjAyCGguZ2pkZ3hzOAByITFCSTMwYXVmZnpfNUoyZVV2ejIwQ2hwS3RpaHlicWJMNw==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2024-08-21T11:49:00Z</dcterms:created>
  <dc:creator>Cotterellr</dc:creator>
</cp:coreProperties>
</file>